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0E1E1" w14:textId="049CB254" w:rsidR="000157CE" w:rsidRDefault="004565DB" w:rsidP="00BD7B5D">
      <w:pPr>
        <w:pStyle w:val="Title"/>
      </w:pPr>
      <w:r>
        <w:t>Public Folders to Shared Mailboxes</w:t>
      </w:r>
      <w:r w:rsidR="00143743">
        <w:t>?</w:t>
      </w:r>
    </w:p>
    <w:p w14:paraId="0930E1E5" w14:textId="4F6360D9" w:rsidR="001D384B" w:rsidRDefault="004565DB" w:rsidP="00891CBF">
      <w:pPr>
        <w:rPr>
          <w:szCs w:val="22"/>
        </w:rPr>
      </w:pPr>
      <w:r>
        <w:rPr>
          <w:szCs w:val="22"/>
        </w:rPr>
        <w:t>Public Folders have been a part of Microsoft Exchange since Exchange 5.5 (circa 1995)</w:t>
      </w:r>
      <w:r w:rsidR="00891CBF">
        <w:rPr>
          <w:szCs w:val="22"/>
        </w:rPr>
        <w:t>.</w:t>
      </w:r>
      <w:r w:rsidR="00226E69" w:rsidRPr="00891CBF">
        <w:rPr>
          <w:szCs w:val="22"/>
        </w:rPr>
        <w:t xml:space="preserve"> </w:t>
      </w:r>
      <w:r>
        <w:rPr>
          <w:szCs w:val="22"/>
        </w:rPr>
        <w:t xml:space="preserve">  The concept of a shared-mailbox has been around for nearly the same amount of time, although in the early iterations of Microsoft Exchange, the product did not provide a distinct category for shared mailboxes as does more recent versions.</w:t>
      </w:r>
    </w:p>
    <w:p w14:paraId="613F2B0C" w14:textId="4A6BD340" w:rsidR="004565DB" w:rsidRDefault="004565DB" w:rsidP="00891CBF">
      <w:pPr>
        <w:rPr>
          <w:szCs w:val="22"/>
        </w:rPr>
      </w:pPr>
      <w:r>
        <w:rPr>
          <w:szCs w:val="22"/>
        </w:rPr>
        <w:t xml:space="preserve">Public Folders are a blessing and a curse for many organizations.  The blessing is that it is possible for users to shared information in a natural and native way through the use of the Public Folder system.  A user with owner permissions on a folder can control access to that folder and its child folders if desired, which is great </w:t>
      </w:r>
      <w:r w:rsidR="001A7892">
        <w:rPr>
          <w:szCs w:val="22"/>
        </w:rPr>
        <w:t>for departments and teams.</w:t>
      </w:r>
    </w:p>
    <w:p w14:paraId="4FDF73D7" w14:textId="678B1A6B" w:rsidR="001A7892" w:rsidRDefault="001A7892" w:rsidP="00891CBF">
      <w:pPr>
        <w:rPr>
          <w:szCs w:val="22"/>
        </w:rPr>
      </w:pPr>
      <w:r>
        <w:rPr>
          <w:szCs w:val="22"/>
        </w:rPr>
        <w:t>The curse of Public Folders, which many come to understand on their own, is that they can grow like a vine and can become a management nightmare as well as a setting up a data hoarding scenario whereby huge datastores end up being created for a large percentage of data that truly has no value.  The one thing that is often found with Public Folders is where users, teams, departments, etc. end up using them as an archive system or a semblance of a shared file store – which are, in our opinion, improper use cases for Public Folders.</w:t>
      </w:r>
    </w:p>
    <w:p w14:paraId="52E99F24" w14:textId="6B0D9F0E" w:rsidR="001A7892" w:rsidRDefault="001A7892" w:rsidP="00891CBF">
      <w:pPr>
        <w:rPr>
          <w:szCs w:val="22"/>
        </w:rPr>
      </w:pPr>
      <w:r>
        <w:rPr>
          <w:szCs w:val="22"/>
        </w:rPr>
        <w:t>With the advent of the cloud and Office 365 and recent versions of Microsoft Exchange, there is new talk circling about shifting from Public Folder to Shared Mailboxes.  Conceptually, it sounds quite simple.  Take data from some folders in the Public Folder system, and copy that data to a shared mailbox.   Then, give users access to that shared mailbox…and presto!  No more Public Folders!</w:t>
      </w:r>
    </w:p>
    <w:p w14:paraId="2CBD08F6" w14:textId="2DCF162B" w:rsidR="001A7892" w:rsidRPr="00891CBF" w:rsidRDefault="001A7892" w:rsidP="00891CBF">
      <w:pPr>
        <w:rPr>
          <w:szCs w:val="22"/>
        </w:rPr>
      </w:pPr>
      <w:r>
        <w:rPr>
          <w:szCs w:val="22"/>
        </w:rPr>
        <w:t>However, the difference between theory and reality in this case is important to understand and consider.  Read on for Priasoft’s experience in working to support this from a software developer’s point of view and why we backed away from such support.</w:t>
      </w:r>
    </w:p>
    <w:p w14:paraId="1D7652CF" w14:textId="0135C0AA" w:rsidR="007B3727" w:rsidRDefault="003236D1" w:rsidP="007B3727">
      <w:pPr>
        <w:pStyle w:val="Title"/>
      </w:pPr>
      <w:r>
        <w:t>Public Folder Features</w:t>
      </w:r>
    </w:p>
    <w:p w14:paraId="062CE4D8" w14:textId="5C530271" w:rsidR="003236D1" w:rsidRDefault="003236D1" w:rsidP="00C643EA">
      <w:r>
        <w:t>Public Folder have some inherent features that make them popular for use.  In order to contrast the differences between them and Shared Mailboxes, we’ll outline some of the obvious, and non-obvious features and aspects of Public Folders.</w:t>
      </w:r>
    </w:p>
    <w:p w14:paraId="2AA87AA2" w14:textId="4DD53E9B" w:rsidR="006B03C0" w:rsidRDefault="006B03C0" w:rsidP="006B03C0">
      <w:pPr>
        <w:pStyle w:val="Heading2"/>
      </w:pPr>
      <w:r>
        <w:t>It’s Exchange!</w:t>
      </w:r>
    </w:p>
    <w:p w14:paraId="19869D73" w14:textId="4CFDBCBB" w:rsidR="003236D1" w:rsidRDefault="003236D1" w:rsidP="00C643EA">
      <w:r>
        <w:t xml:space="preserve">First and foremost, Public Folders are natively a part of Microsoft Exchange.  As such, Outlook users have a natural and intuitive experience in working with them.  They simply show up as folders in the Outlook view and can be interacted with in the same way as any other folder.  This feature of Public Folders means that a user does not have to leave Outlook in order to access shared data and </w:t>
      </w:r>
      <w:r>
        <w:lastRenderedPageBreak/>
        <w:t>can easily drag/drop items to/from Public Folders.  Users can even copy or move data between other folders in their Outlook experience, such as to/from PST files, their own mailbox, or even shared mailboxes.</w:t>
      </w:r>
    </w:p>
    <w:p w14:paraId="701EEEFA" w14:textId="0648326F" w:rsidR="003236D1" w:rsidRDefault="003236D1" w:rsidP="00C643EA">
      <w:r>
        <w:t>Another inherent point of value is that data stored in Public Folders immediately gets the value of the Exchange implementation, for example, data backups</w:t>
      </w:r>
      <w:r w:rsidR="006B03C0">
        <w:t>, data security,</w:t>
      </w:r>
      <w:r>
        <w:t xml:space="preserve"> and high availability.  Users do not have to worry about data loss or backups of the data they store and work with in Public Folders, as long as the administrators on the back end have implemented such aspects, which most do.</w:t>
      </w:r>
    </w:p>
    <w:p w14:paraId="7F326FF3" w14:textId="661E1214" w:rsidR="003236D1" w:rsidRDefault="003236D1" w:rsidP="00C643EA">
      <w:r>
        <w:t xml:space="preserve">Further, remote access to this data simply follows the user with their normal Outlook access.  A traveling user that is allowed to connect to their mailbox while away from the office, automatically </w:t>
      </w:r>
      <w:r w:rsidR="006B03C0">
        <w:t>has</w:t>
      </w:r>
      <w:r>
        <w:t xml:space="preserve"> the same level of access to Public </w:t>
      </w:r>
      <w:r w:rsidR="006B03C0">
        <w:t xml:space="preserve">Folders.  Also, in current versions of Microsoft Exchange, including Exchange Online from Office 365 (which currently runs a version of  </w:t>
      </w:r>
      <w:r w:rsidR="006B03C0" w:rsidRPr="006B03C0">
        <w:t>Microsoft Exchange</w:t>
      </w:r>
      <w:r w:rsidR="006B03C0">
        <w:t xml:space="preserve"> 2016), Outlook Web Access [OWA] provides access to Public Folders through a web-browser.</w:t>
      </w:r>
    </w:p>
    <w:p w14:paraId="03F19642" w14:textId="5733425A" w:rsidR="006B03C0" w:rsidRDefault="006B03C0" w:rsidP="006B03C0">
      <w:pPr>
        <w:pStyle w:val="Heading2"/>
      </w:pPr>
      <w:r>
        <w:t>Calendars and Contacts</w:t>
      </w:r>
    </w:p>
    <w:p w14:paraId="1AC37384" w14:textId="7EDBCD39" w:rsidR="006B03C0" w:rsidRDefault="006B03C0" w:rsidP="00C643EA">
      <w:r>
        <w:t>Pubic Folders inherently support calendars and contacts.  Concepts such as a corporate events calendar, department calendar, etc. are great uses of Public Folders, especially for cases where all users in the organization should have at least read access to such data.</w:t>
      </w:r>
    </w:p>
    <w:p w14:paraId="0A4E7499" w14:textId="760A6ECE" w:rsidR="006B03C0" w:rsidRDefault="006B03C0" w:rsidP="00C643EA">
      <w:r>
        <w:t>Calendars in Public Folders render as calendar views in Outlook just as they would for a calendar folder in a mailbox.  The user experience is the same, and that has tremendous value if for no other reason that no time or money (of any substantial amount) has to be used to train users on this function.</w:t>
      </w:r>
    </w:p>
    <w:p w14:paraId="515CF406" w14:textId="441FF2F5" w:rsidR="006B03C0" w:rsidRDefault="006B03C0" w:rsidP="00C643EA">
      <w:r>
        <w:t>Contact folders are also great uses of Public Folders.  A departmental contact folder is not an uncommon use of such a folder, especially for cases where the contacts in the folder are project or case specific.  Exchange administrators would not really want a bunch of new Contact objects in the Exchange Address Book (GAL) for such cases.  However, storing customer contact info or client specific contact information in such a folder can be very useful.</w:t>
      </w:r>
    </w:p>
    <w:p w14:paraId="18B87E5E" w14:textId="0F73E955" w:rsidR="006B03C0" w:rsidRDefault="006B03C0" w:rsidP="006B03C0">
      <w:pPr>
        <w:pStyle w:val="Heading2"/>
      </w:pPr>
      <w:r>
        <w:t>Templates</w:t>
      </w:r>
    </w:p>
    <w:p w14:paraId="78D49C0F" w14:textId="43B4A059" w:rsidR="006B03C0" w:rsidRDefault="006B03C0" w:rsidP="00C643EA">
      <w:r>
        <w:t xml:space="preserve">Another good use of Public Folders is for the storage and access to company templates.  For example, an organization may produce a set of Excel or Word templates for use by users for things like “leave/vacation requests”, </w:t>
      </w:r>
      <w:r w:rsidR="00B9388F">
        <w:t>“purchase orders”, etc.  This can even be done at a department level.</w:t>
      </w:r>
    </w:p>
    <w:p w14:paraId="2E8BC941" w14:textId="302EE7BA" w:rsidR="00B9388F" w:rsidRDefault="00B9388F" w:rsidP="00C643EA">
      <w:r>
        <w:t>As long as this concept is managed and doesn’t convert to a “file repository”, the concept works well and often better than a shared file system – consider that the same template files that exist in a company “share” on a file system will typically be inaccessible to a user that is travelling away from the corporate network, but could get the info from Public Folders with ease.</w:t>
      </w:r>
    </w:p>
    <w:p w14:paraId="2470F227" w14:textId="42AA80C6" w:rsidR="00CB1FE0" w:rsidRDefault="00CB1FE0" w:rsidP="00CB1FE0">
      <w:pPr>
        <w:pStyle w:val="Heading2"/>
      </w:pPr>
      <w:r>
        <w:t>Mail-Enabled Folders</w:t>
      </w:r>
    </w:p>
    <w:p w14:paraId="1C068F0C" w14:textId="0119B8CE" w:rsidR="00CB1FE0" w:rsidRDefault="00CB1FE0" w:rsidP="00C643EA">
      <w:r>
        <w:t>Public Folders can be “mail enabled”, meaning that they can be setup to receive mail directly by an SMTP address.  With this setup, the Microsoft Exchange mail transport handler will route incoming mail directly to the folder.  This can be very convenient for low use addresses, and ones where a reply from that address are not expected, like a “do not reply” type address.</w:t>
      </w:r>
    </w:p>
    <w:p w14:paraId="643FDD4D" w14:textId="18868248" w:rsidR="00CB1FE0" w:rsidRDefault="00CB1FE0" w:rsidP="00C643EA">
      <w:r>
        <w:t>Mail-enabled folders can also be hidden from the general Exchange Address Book, so that they don’t clutter up the GAL for regular users.</w:t>
      </w:r>
    </w:p>
    <w:p w14:paraId="42357998" w14:textId="7BDD3E83" w:rsidR="00CB1FE0" w:rsidRDefault="00CB1FE0" w:rsidP="00CB1FE0">
      <w:pPr>
        <w:pStyle w:val="Heading2"/>
      </w:pPr>
      <w:r>
        <w:t>Folder Assistants</w:t>
      </w:r>
    </w:p>
    <w:p w14:paraId="7B40B143" w14:textId="5D332726" w:rsidR="00CB1FE0" w:rsidRDefault="00CB1FE0" w:rsidP="00C643EA">
      <w:r>
        <w:t xml:space="preserve">Public Folders also support a simplified “rules” system whereby </w:t>
      </w:r>
      <w:r w:rsidR="00421E80">
        <w:t>messages posted or received by a folder can be forwarded, deleted</w:t>
      </w:r>
    </w:p>
    <w:p w14:paraId="50CBA968" w14:textId="53575AD5" w:rsidR="00B9388F" w:rsidRDefault="00B9388F" w:rsidP="00B9388F">
      <w:pPr>
        <w:pStyle w:val="Heading2"/>
      </w:pPr>
      <w:r>
        <w:lastRenderedPageBreak/>
        <w:t>Archives and Project Data</w:t>
      </w:r>
    </w:p>
    <w:p w14:paraId="127CA875" w14:textId="0739159F" w:rsidR="00B9388F" w:rsidRDefault="00B9388F" w:rsidP="00C643EA">
      <w:r>
        <w:t>While Priasoft doesn’t think this is a good use of Public Folders, it is a scenario we see quite often.  This is also a scenario that we see most often that yields Public Folder sizes that are very large.  Nonetheless, there are valid cases for such a structure.</w:t>
      </w:r>
    </w:p>
    <w:p w14:paraId="3C403B8B" w14:textId="564ABD31" w:rsidR="00B9388F" w:rsidRDefault="00B9388F" w:rsidP="00C643EA">
      <w:r>
        <w:t>The more ‘unfriendly’ use of Public Folders is for archival – not really the right place for such, but it occurs.  We have seen cases where entire mailboxes of terminated users were shifted to public folders so that the data was retained after the user account and mailbox were deleted.  Again, not the best use of the system, but not extremely rare either.</w:t>
      </w:r>
    </w:p>
    <w:p w14:paraId="48008067" w14:textId="1BE376E7" w:rsidR="00B9388F" w:rsidRDefault="00B9388F" w:rsidP="00B9388F">
      <w:pPr>
        <w:pStyle w:val="Heading2"/>
      </w:pPr>
      <w:r>
        <w:t>Data access after termination</w:t>
      </w:r>
    </w:p>
    <w:p w14:paraId="00552D13" w14:textId="5AEAD46E" w:rsidR="00B9388F" w:rsidRDefault="00B9388F" w:rsidP="00C643EA">
      <w:r>
        <w:t>This feature is a bit more subtle, but can solve some issues.  Consider a user that has left the organization, but someone who’s influence on the organization was fairly high.  Access to his/her email conversations are often something that someone else will need in order to take over that person’s responsibilities.  If the behavior of such a user was to use a Public Folder for non-personal conversation, things like customer or partner communications, the access to such info becomes quite easy to provide to someone else.  However, this only works when the organization behavior supports it.  Valuable nonetheless.</w:t>
      </w:r>
    </w:p>
    <w:p w14:paraId="7DE4560D" w14:textId="3B9DB94C" w:rsidR="00B9388F" w:rsidRDefault="00B9388F" w:rsidP="00B9388F">
      <w:pPr>
        <w:pStyle w:val="Heading2"/>
      </w:pPr>
      <w:r>
        <w:t>They Exist in All Versions of Exchange, even Office 365!</w:t>
      </w:r>
    </w:p>
    <w:p w14:paraId="3BC6259D" w14:textId="2F0DA470" w:rsidR="00B9388F" w:rsidRDefault="00B9388F" w:rsidP="00C643EA">
      <w:r>
        <w:t>Lastly, Microsoft found out after Exchange 2007 that Public Folders were here to stay.  There are just too many organizations that have invested in Public Folders for Microsoft to simply drop them.  Microsoft has for years, however, tried to push companies to reduce the use of Public Folders and to put data in other solutions like SharePoint, Teams, OneDrive, etc.</w:t>
      </w:r>
    </w:p>
    <w:p w14:paraId="60657385" w14:textId="151C71CC" w:rsidR="00B9388F" w:rsidRDefault="00CB1FE0" w:rsidP="00C643EA">
      <w:r>
        <w:t>There does not appear to be any talk or attempt to drop Public Folders at any future time.  So, they are here now and will likely be here for many years to come.</w:t>
      </w:r>
    </w:p>
    <w:p w14:paraId="7F46634A" w14:textId="77777777" w:rsidR="00CB1FE0" w:rsidRDefault="00CB1FE0" w:rsidP="00C643EA"/>
    <w:p w14:paraId="4A5C1953" w14:textId="4A446057" w:rsidR="00CB1FE0" w:rsidRDefault="00CB1FE0" w:rsidP="00CB1FE0">
      <w:pPr>
        <w:pStyle w:val="Title"/>
      </w:pPr>
      <w:r>
        <w:t>Shared Mailboxes</w:t>
      </w:r>
    </w:p>
    <w:p w14:paraId="00BB312A" w14:textId="07591A20" w:rsidR="00C643EA" w:rsidRDefault="00CB1FE0" w:rsidP="00C643EA">
      <w:r>
        <w:t xml:space="preserve">Shared Mailboxes also have some inherent features and benefits and are quite common in organizations.  Shared Mailboxes, should not be thought of as binary choice between them and Public Folders.  It is quite common for organizations to have both. </w:t>
      </w:r>
    </w:p>
    <w:p w14:paraId="44A6705D" w14:textId="004BF719" w:rsidR="00891CBF" w:rsidRDefault="00CB1FE0" w:rsidP="00CB1FE0">
      <w:pPr>
        <w:pStyle w:val="Heading2"/>
      </w:pPr>
      <w:r>
        <w:t>They are Mailboxes!</w:t>
      </w:r>
    </w:p>
    <w:p w14:paraId="244C5FCB" w14:textId="2A5FF5E8" w:rsidR="00CB1FE0" w:rsidRDefault="00CB1FE0" w:rsidP="00CB1FE0">
      <w:r>
        <w:t>A Shared Mailbox is just that – a mailbox.  As such, it receives all the aspects of a mailbox that one would expect.  It has folders, one or more email addresses, and so on.</w:t>
      </w:r>
      <w:r w:rsidR="00915C89">
        <w:t xml:space="preserve">  As a mailbox, it supports rules, out-of-office, delegation, and all the features a mailbox provides.</w:t>
      </w:r>
    </w:p>
    <w:p w14:paraId="2A556DBF" w14:textId="5C2261CE" w:rsidR="00915C89" w:rsidRDefault="00915C89" w:rsidP="00915C89">
      <w:pPr>
        <w:pStyle w:val="Heading2"/>
      </w:pPr>
      <w:r>
        <w:t>They are meant to be shared</w:t>
      </w:r>
    </w:p>
    <w:p w14:paraId="61AD2035" w14:textId="6D815905" w:rsidR="00915C89" w:rsidRDefault="00915C89" w:rsidP="00CB1FE0">
      <w:r>
        <w:t>As a “shared” mailbox, they are meant to be shared with others.  Permissions to either the entire mailbox or individual folders in the mailbox are possible.  As a mailbox, if another user is given “Full Access” permission to the mailbox, Outlook (in most cases) will “auto map” the shared mailbox into the user’s Outlook profile and experience.</w:t>
      </w:r>
    </w:p>
    <w:p w14:paraId="16410DD4" w14:textId="58BC3EFA" w:rsidR="00915C89" w:rsidRDefault="00915C89" w:rsidP="00915C89">
      <w:pPr>
        <w:pStyle w:val="Heading2"/>
      </w:pPr>
      <w:r>
        <w:lastRenderedPageBreak/>
        <w:t>Shared Mailboxes are not Public Mailboxes</w:t>
      </w:r>
    </w:p>
    <w:p w14:paraId="1D070790" w14:textId="692AA21F" w:rsidR="00915C89" w:rsidRDefault="00915C89" w:rsidP="00915C89">
      <w:r>
        <w:t>Unlike a Public Folder, a shared mailbox is not “public” in the sense that it is easily browsed for or searched.  This can be good or bad depending upon the situation.  Shared mailboxes can be hidden from the Global Address List in order to obfuscate them from the rest of the organization.  In addition and unlike a public folder, just because one user has “Full Access” privileges to the mailbox does not mean they can give other users that same right.  Only an Exchange Administrator can give users full access to a mailbox.</w:t>
      </w:r>
    </w:p>
    <w:p w14:paraId="239A7D85" w14:textId="78CE0D43" w:rsidR="00915C89" w:rsidRDefault="00915C89" w:rsidP="00915C89">
      <w:pPr>
        <w:pStyle w:val="Heading2"/>
      </w:pPr>
      <w:r>
        <w:t>Database policies and limits</w:t>
      </w:r>
    </w:p>
    <w:p w14:paraId="13DFBB27" w14:textId="7EA75AF0" w:rsidR="00915C89" w:rsidRDefault="00915C89" w:rsidP="00915C89">
      <w:r>
        <w:t>Just like a regular mailbox, a shared mailbox can inherit policies and limits imposed at higher levels.  These same limits can also be overridden on a per-mailbox basis.  In Office 365, where there are no database for the public to manage, the limits are imposed by Microsoft – but can be changed with certain ranges.</w:t>
      </w:r>
    </w:p>
    <w:p w14:paraId="15635B09" w14:textId="6EB7DFC8" w:rsidR="00915C89" w:rsidRDefault="00915C89" w:rsidP="00915C89">
      <w:pPr>
        <w:pStyle w:val="Heading2"/>
      </w:pPr>
      <w:r>
        <w:t>Licensing (Office 365)</w:t>
      </w:r>
    </w:p>
    <w:p w14:paraId="1F10DDF7" w14:textId="00ED04F2" w:rsidR="00915C89" w:rsidRDefault="00915C89" w:rsidP="00915C89">
      <w:r>
        <w:t>A shared mailbox in Office 365, in its default state, does not consume a license and does not incur a cost.  However, if certain other features are desired or required, those features may require the shared mailbox to also have a license.  Some common features that require a shared mailbox to have a license are:</w:t>
      </w:r>
    </w:p>
    <w:p w14:paraId="46673870" w14:textId="04F14EAE" w:rsidR="00915C89" w:rsidRDefault="00915C89" w:rsidP="00915C89">
      <w:pPr>
        <w:pStyle w:val="ListParagraph"/>
        <w:numPr>
          <w:ilvl w:val="0"/>
          <w:numId w:val="24"/>
        </w:numPr>
      </w:pPr>
      <w:r>
        <w:t>Unlimited Archive</w:t>
      </w:r>
    </w:p>
    <w:p w14:paraId="45D7DACA" w14:textId="71715758" w:rsidR="00915C89" w:rsidRDefault="00915C89" w:rsidP="00915C89">
      <w:pPr>
        <w:pStyle w:val="ListParagraph"/>
        <w:numPr>
          <w:ilvl w:val="0"/>
          <w:numId w:val="24"/>
        </w:numPr>
      </w:pPr>
      <w:r>
        <w:t>eDiscover features</w:t>
      </w:r>
    </w:p>
    <w:p w14:paraId="38640DC7" w14:textId="7B48F2D5" w:rsidR="00915C89" w:rsidRDefault="00915C89" w:rsidP="00915C89">
      <w:pPr>
        <w:pStyle w:val="ListParagraph"/>
        <w:numPr>
          <w:ilvl w:val="0"/>
          <w:numId w:val="24"/>
        </w:numPr>
      </w:pPr>
      <w:r>
        <w:t>Litigation Hold features</w:t>
      </w:r>
    </w:p>
    <w:p w14:paraId="2430B2D2" w14:textId="5BCA957E" w:rsidR="00915C89" w:rsidRDefault="00915C89" w:rsidP="00915C89">
      <w:pPr>
        <w:pStyle w:val="ListParagraph"/>
        <w:numPr>
          <w:ilvl w:val="0"/>
          <w:numId w:val="24"/>
        </w:numPr>
      </w:pPr>
      <w:r>
        <w:t>Direct Logon or direct OWA access</w:t>
      </w:r>
    </w:p>
    <w:p w14:paraId="3898DFB3" w14:textId="5B505E8E" w:rsidR="00915C89" w:rsidRDefault="00915C89" w:rsidP="00915C89">
      <w:pPr>
        <w:pStyle w:val="Heading2"/>
      </w:pPr>
      <w:r>
        <w:t>User state (on-premises)</w:t>
      </w:r>
    </w:p>
    <w:p w14:paraId="354857AF" w14:textId="630DF8C8" w:rsidR="00915C89" w:rsidRDefault="00915C89" w:rsidP="00915C89">
      <w:r>
        <w:t>In an on-premises deployment, a “shared mailbox” is supported by a user account in the same way as a regular mailbox.  However, the user account is required to be a disabled account, which prevents the account from being used as a logon account for other access.  Microsoft Exchange enforces this behavior and the underlying user account of the “shared mailbox” is enabled, the shared mailbox stops working.</w:t>
      </w:r>
    </w:p>
    <w:p w14:paraId="24837AE2" w14:textId="2247D5FA" w:rsidR="00915C89" w:rsidRDefault="00915C89" w:rsidP="00915C89">
      <w:r>
        <w:t>However, this doesn’t mean that a normal user mailbox cannot be “shared”.  The “Full Access” permission can be applied to a shared mailbox and user mailbox equally.  The difference only being that user mailbox shared in this way can also be logged on to directly.</w:t>
      </w:r>
    </w:p>
    <w:p w14:paraId="1CAFE098" w14:textId="77777777" w:rsidR="00915C89" w:rsidRDefault="00915C89" w:rsidP="00915C89"/>
    <w:p w14:paraId="38E8987C" w14:textId="12C00C76" w:rsidR="00915C89" w:rsidRPr="00915C89" w:rsidRDefault="00915C89" w:rsidP="00915C89">
      <w:pPr>
        <w:pStyle w:val="Title"/>
      </w:pPr>
      <w:r>
        <w:t>Challenges and Differences</w:t>
      </w:r>
    </w:p>
    <w:p w14:paraId="440C9633" w14:textId="032BA22D" w:rsidR="00915C89" w:rsidRDefault="00915C89" w:rsidP="00915C89">
      <w:r>
        <w:t>When the Priasoft team was first looking at this scenario, it was thought to be a valuable idea.  Considering the no-cost option with Office 365’s implementation and the similarities between the sharing models, it was imagined that this would be a simple and straightforward path…we found out otherwise after we started.</w:t>
      </w:r>
    </w:p>
    <w:p w14:paraId="58A9BFB0" w14:textId="6AF02CAC" w:rsidR="00915C89" w:rsidRDefault="00915C89" w:rsidP="00915C89">
      <w:r>
        <w:lastRenderedPageBreak/>
        <w:t>There ended up being several technical discussions with the team on how to present options and which options to offer.  Ultimately it was the sheer permutation of possibilities that sunk this project for us.  Some very smart people understood that he support burden could become very high, and when that happens it usually means a customer is unhappy – which is not our goal.</w:t>
      </w:r>
    </w:p>
    <w:p w14:paraId="1AEEC2E0" w14:textId="7ECC063A" w:rsidR="00915C89" w:rsidRDefault="00915C89" w:rsidP="00915C89">
      <w:r>
        <w:t>The following will outline the various challenges that were faced and the way the discussions formed.  We encourage all who are evaluating the path of Public Folders to Shared Mailboxes to consider these elements before diving in too deeply.</w:t>
      </w:r>
    </w:p>
    <w:p w14:paraId="08AA0D47" w14:textId="77777777" w:rsidR="00915C89" w:rsidRDefault="00915C89" w:rsidP="00915C89"/>
    <w:p w14:paraId="7417CA11" w14:textId="38DF1550" w:rsidR="00915C89" w:rsidRDefault="00915C89" w:rsidP="00915C89">
      <w:pPr>
        <w:pStyle w:val="Heading2"/>
      </w:pPr>
      <w:r>
        <w:t>Where does the folder go?</w:t>
      </w:r>
    </w:p>
    <w:p w14:paraId="64DE31D0" w14:textId="3C38CE04" w:rsidR="00915C89" w:rsidRDefault="00915C89" w:rsidP="00915C89">
      <w:r>
        <w:t>This was one of the first questions that created a debate.  The following were some of the options that were offered with regards to where the “source” Public Folder could or should be placed in the “target” shared mailbox.</w:t>
      </w:r>
    </w:p>
    <w:p w14:paraId="7438A5AD" w14:textId="5D5990CB" w:rsidR="00915C89" w:rsidRDefault="00915C89" w:rsidP="00915C89">
      <w:pPr>
        <w:pStyle w:val="ListParagraph"/>
        <w:numPr>
          <w:ilvl w:val="0"/>
          <w:numId w:val="24"/>
        </w:numPr>
      </w:pPr>
      <w:r>
        <w:t>With the same name, as a root folder (same level as Inbox)</w:t>
      </w:r>
    </w:p>
    <w:p w14:paraId="7755D148" w14:textId="7E9A0431" w:rsidR="00915C89" w:rsidRDefault="00915C89" w:rsidP="00915C89">
      <w:pPr>
        <w:pStyle w:val="ListParagraph"/>
        <w:numPr>
          <w:ilvl w:val="0"/>
          <w:numId w:val="24"/>
        </w:numPr>
      </w:pPr>
      <w:r>
        <w:t>As a child folder of the Inbox.</w:t>
      </w:r>
    </w:p>
    <w:p w14:paraId="0EE366AD" w14:textId="44F643BF" w:rsidR="00915C89" w:rsidRDefault="00915C89" w:rsidP="00915C89">
      <w:pPr>
        <w:pStyle w:val="ListParagraph"/>
        <w:numPr>
          <w:ilvl w:val="0"/>
          <w:numId w:val="24"/>
        </w:numPr>
      </w:pPr>
      <w:r>
        <w:t>Merged into the Inbox, which means the original folder name was lost.</w:t>
      </w:r>
    </w:p>
    <w:p w14:paraId="4514847B" w14:textId="01FA2493" w:rsidR="00915C89" w:rsidRDefault="00915C89" w:rsidP="00915C89">
      <w:pPr>
        <w:pStyle w:val="ListParagraph"/>
        <w:numPr>
          <w:ilvl w:val="0"/>
          <w:numId w:val="24"/>
        </w:numPr>
      </w:pPr>
      <w:r>
        <w:t>As a child folder of some other defined folder or custom folder.</w:t>
      </w:r>
    </w:p>
    <w:p w14:paraId="7A5E7F99" w14:textId="4AEFCDAD" w:rsidR="00915C89" w:rsidRDefault="00915C89" w:rsidP="00915C89">
      <w:r>
        <w:t>Almost as soon as these options were identified, the question arose of “what if the source folder is a calendar folder?”  This added more complexity to the discussion.  In this case, should the source folder be a child of the shared mailbox’s primary Calendar folder?  A subfolder under the calendar?</w:t>
      </w:r>
    </w:p>
    <w:p w14:paraId="395207C7" w14:textId="47138246" w:rsidR="00915C89" w:rsidRDefault="00915C89" w:rsidP="00915C89">
      <w:r>
        <w:t>The same questions for Contact folders and any other non-default public folder also arose.</w:t>
      </w:r>
    </w:p>
    <w:p w14:paraId="410E8551" w14:textId="58C13B83" w:rsidR="00915C89" w:rsidRDefault="00915C89" w:rsidP="00915C89">
      <w:r>
        <w:t xml:space="preserve">Bear in mind that this simple question was only discussing a case of a </w:t>
      </w:r>
      <w:r>
        <w:rPr>
          <w:i/>
        </w:rPr>
        <w:t>single folder from the public folder tree</w:t>
      </w:r>
      <w:r>
        <w:t>!</w:t>
      </w:r>
    </w:p>
    <w:p w14:paraId="31551DDF" w14:textId="6C094A41" w:rsidR="00915C89" w:rsidRDefault="00915C89" w:rsidP="00915C89">
      <w:r>
        <w:t xml:space="preserve">Presenting these options in a software program became difficult to lay out in an intuitive manner.  While we could simply have provided a drop-down or some checkbox option, the explanation of each option needed a fair amount of text.  </w:t>
      </w:r>
    </w:p>
    <w:p w14:paraId="74A5E45D" w14:textId="77777777" w:rsidR="00915C89" w:rsidRDefault="00915C89" w:rsidP="00915C89">
      <w:pPr>
        <w:pStyle w:val="Heading2"/>
      </w:pPr>
    </w:p>
    <w:p w14:paraId="19AC59FA" w14:textId="3CDEE969" w:rsidR="00915C89" w:rsidRDefault="00915C89" w:rsidP="00915C89">
      <w:pPr>
        <w:pStyle w:val="Heading2"/>
      </w:pPr>
      <w:r>
        <w:t>What about subtrees?</w:t>
      </w:r>
    </w:p>
    <w:p w14:paraId="15E4830A" w14:textId="4E2622D8" w:rsidR="00915C89" w:rsidRDefault="00915C89" w:rsidP="00915C89">
      <w:r>
        <w:t>As was mentioned above, the question was also made about subtrees versus single folders.  Consider a subtree of folders from the Public Folder system, possibly one that has only a dozen or so folders in total.  In addition to the questions above, new options were needed with regards to this.  Should the entire subtree structure be maintained, and was that appropriate for the use and behavior of the contents of the folders?</w:t>
      </w:r>
    </w:p>
    <w:p w14:paraId="78D2E849" w14:textId="0BDCE112" w:rsidR="00915C89" w:rsidRDefault="00915C89" w:rsidP="00915C89">
      <w:r>
        <w:t>The concern that was debated was a case that is seen quite commonly in Public Folders:  a normal parent folder with a mix of regular, calendar, and contact folders in the subtree.  The question was on how those should map to the mailbox.  If the structure of the subtree were simply preserved, the previous options above still applied.  However, in a mailbox, calendar folders under the inbox is unexpected.</w:t>
      </w:r>
    </w:p>
    <w:p w14:paraId="33B330F4" w14:textId="2C017DDF" w:rsidR="00915C89" w:rsidRDefault="00915C89" w:rsidP="00915C89">
      <w:r>
        <w:t>Furthermore, mailboxes (and public folders) do not allow for two folders with the same name to exist under the same parent folder.  If the source subtree had any repeated folder names at different levels, mapping those folders as root folders or child folders of the inbox could pose a problem.</w:t>
      </w:r>
    </w:p>
    <w:p w14:paraId="22623113" w14:textId="504690EE" w:rsidR="00915C89" w:rsidRDefault="00915C89" w:rsidP="00915C89">
      <w:pPr>
        <w:pStyle w:val="Heading2"/>
      </w:pPr>
      <w:r>
        <w:lastRenderedPageBreak/>
        <w:t>Mail-enabled Folders?</w:t>
      </w:r>
    </w:p>
    <w:p w14:paraId="6DC64534" w14:textId="698C9497" w:rsidR="00DF6F0F" w:rsidRDefault="00DF6F0F" w:rsidP="00DF6F0F">
      <w:r>
        <w:t xml:space="preserve">Next on the topic of discussion was mail-enabled folders.  </w:t>
      </w:r>
      <w:r w:rsidR="00DF4859">
        <w:t>In Microsoft Exchange’s Public Folder system, it is possible to have a Public Folder have its own email address and the mail system can deliver mail to that address directly into that folder.  This is a very valuable feature of Public Folders.</w:t>
      </w:r>
    </w:p>
    <w:p w14:paraId="6CA0A2A5" w14:textId="716F9899" w:rsidR="00DF4859" w:rsidRDefault="00DF4859" w:rsidP="00DF6F0F">
      <w:r>
        <w:t>However, in contrast, a mailbox cannot have specific folders “mail enabled” – the entire mailbox is mail-enabled!  Email addresses are assigned to the mailbox, and on receipt are only delivered to the “Inbox” folder.</w:t>
      </w:r>
    </w:p>
    <w:p w14:paraId="7923E75B" w14:textId="7023B5B8" w:rsidR="00DF4859" w:rsidRDefault="00DF4859" w:rsidP="00DF6F0F">
      <w:r>
        <w:t>Remembering the options presented previously about “where does the folder go?”, the choice made would affect mail-flow.  One might say that a mail-enabled public folder is a good candidate for “merging” into the default Inbox of the shared mailbox.  However, if an end-user is expecting and used to seeing the folder name, it can be confusing at first.  In addition, if a 3</w:t>
      </w:r>
      <w:r w:rsidRPr="00DF4859">
        <w:rPr>
          <w:vertAlign w:val="superscript"/>
        </w:rPr>
        <w:t>rd</w:t>
      </w:r>
      <w:r>
        <w:t xml:space="preserve"> party application is involved, it may expect the folder by name.</w:t>
      </w:r>
    </w:p>
    <w:p w14:paraId="0596400C" w14:textId="6DC503F6" w:rsidR="00DF4859" w:rsidRDefault="00DF4859" w:rsidP="00DF6F0F">
      <w:r>
        <w:t>If the source folder is preserve and create as either a root folder or a child folder, the issue now becomes one of how to get data from the Inbox on receipt into the named folder.  Most people at this point should be thinking of mailbox rules.  While this is possible, the creation, management, and editing of mailbox rules is only done by Outlook.  There’s no support command-line or powershell automation for rules.  As such, this can become a tedious and challenging support issue.</w:t>
      </w:r>
    </w:p>
    <w:p w14:paraId="04272BB9" w14:textId="4B82AE60" w:rsidR="00DF4859" w:rsidRDefault="00DF4859" w:rsidP="00DF6F0F">
      <w:r>
        <w:t>To make matters potentially worse, if the source is a subtree of folders, with some or all of those folders being mail-enabled, the complexity increases greatly.  All the email addresses of the mail-enabled folders in the subtree would have to be captured, set on the mailbox for receipt, and then separate rules created for each address to move data to the right folder.</w:t>
      </w:r>
    </w:p>
    <w:p w14:paraId="5BDD1530" w14:textId="1FE5C9DC" w:rsidR="00DF4859" w:rsidRDefault="00DF4859" w:rsidP="00DF6F0F">
      <w:r>
        <w:t>Software tools could accomplish this, and, in fact, the Priasoft team was planning on implementing this very idea.   However, the creation of rules become a new set of complexity, with a new set of options and questions to ask of an administrator.  Attempting to create a user interfaces with so many questions and options started to become a very daunting task.</w:t>
      </w:r>
    </w:p>
    <w:p w14:paraId="0B4BA87D" w14:textId="77777777" w:rsidR="00DF4859" w:rsidRDefault="00DF4859" w:rsidP="00DF4859">
      <w:pPr>
        <w:pStyle w:val="Heading2"/>
      </w:pPr>
    </w:p>
    <w:p w14:paraId="22BBF654" w14:textId="4D7DD27D" w:rsidR="00DF4859" w:rsidRDefault="00DF4859" w:rsidP="00DF4859">
      <w:pPr>
        <w:pStyle w:val="Heading2"/>
      </w:pPr>
      <w:r>
        <w:t>Mailbox access versus folder access</w:t>
      </w:r>
    </w:p>
    <w:p w14:paraId="0F2822CA" w14:textId="58F26154" w:rsidR="004F64A6" w:rsidRDefault="00DF4859" w:rsidP="00DF4859">
      <w:r>
        <w:t xml:space="preserve">Another discussion point that came up was in regards to whether only the folder in the new shared mailbox was shared, or whether the entire mailbox was shared.  From a software and automation perspective, and one that could potentially be working with hundreds or thousands of folders, </w:t>
      </w:r>
      <w:r w:rsidR="004F64A6">
        <w:t>this question became critical.  There would be little value in forklifting data from public folders into a shared mailbox if the original users of the public folders had no access to the shared mailbox.</w:t>
      </w:r>
    </w:p>
    <w:p w14:paraId="5418DD65" w14:textId="5382D2FD" w:rsidR="004F64A6" w:rsidRDefault="004F64A6" w:rsidP="00DF4859">
      <w:r>
        <w:t>Public folders – by the nature of being folders – have very granular rights that can be applied.  However, in contrast a mailbox has essentially only one right that can be applied:  Full Access.  There’s also another right related to a mailbox, but is technically a “user” right:  Send-As.  The distinction is important because the Full Access right is applied to the mailbox and is ultimately stored in the Exchange database on the mailbox metadata.  However, the Send-As right – which lets a user send mail out with a reply address of a different mailbox – is stored on the actual Active Directory user account as part of the normal object security.  The point is that the application and adjustment these two different rights is handled by different coding mechanisms.</w:t>
      </w:r>
    </w:p>
    <w:p w14:paraId="1413B7E7" w14:textId="25A683EE" w:rsidR="004F64A6" w:rsidRDefault="004F64A6" w:rsidP="00DF4859">
      <w:r>
        <w:t xml:space="preserve">Individual folders in a mailbox have the same opportunity for permissions as a public folders – which should make sense as they are both “folders”.  </w:t>
      </w:r>
    </w:p>
    <w:p w14:paraId="1CF2B215" w14:textId="0248DB11" w:rsidR="004F64A6" w:rsidRDefault="004F64A6" w:rsidP="00DF4859">
      <w:r>
        <w:lastRenderedPageBreak/>
        <w:t>The challenge that was faced in this regard was that the Full Access permission on a mailbox is quite broad and sweeping. It is similar to the Owner permission on a public folder, but greater.  A user with Full Access to another mailbox has, as the name implies, “full” access to the mailbox.  Meaning that all child folder can be deleted moved or modified as well as the contents.  As such, it would not be possible to grant Full Access to a user and then simultaneously limit the same user to only certain folders in the mailbox.</w:t>
      </w:r>
    </w:p>
    <w:p w14:paraId="42382A9A" w14:textId="47BC66BC" w:rsidR="004F64A6" w:rsidRDefault="004F64A6" w:rsidP="00DF4859">
      <w:r>
        <w:t>In contrast, permissions on folders in a mailbox could be mapped identically to the permission that were set on the source public folder.  The challenge with this approach was that unless a user had Full Access permission to the mailbox, a user could not see more than one folder at a time from that shared mailbox.  Furthermore, the user would have to know the mailbox name and the folder he or she wanted to access.  There’s nothing that a user could browse.  Lastly, while any folder can be shared in a mailbox, Outlook – in later versions – makes accessing non-default folders (i.e. Inbox, Calendar, Contacts, etc.) difficult or impossible.</w:t>
      </w:r>
      <w:r w:rsidR="00CE52FC">
        <w:t xml:space="preserve">  This, in turn, complicates the options provide earlier of where to place the source folder in the shared mailbox.</w:t>
      </w:r>
    </w:p>
    <w:p w14:paraId="6DECB64F" w14:textId="77777777" w:rsidR="00CE52FC" w:rsidRDefault="00CE52FC" w:rsidP="00DF4859"/>
    <w:p w14:paraId="2D1AE1F2" w14:textId="7B5AD475" w:rsidR="00CE52FC" w:rsidRDefault="00CE52FC" w:rsidP="00CE52FC">
      <w:pPr>
        <w:pStyle w:val="Heading2"/>
      </w:pPr>
      <w:r>
        <w:t>Posts versus Messages</w:t>
      </w:r>
    </w:p>
    <w:p w14:paraId="66957AA5" w14:textId="05801DBA" w:rsidR="00CE52FC" w:rsidRDefault="00CE52FC" w:rsidP="00CE52FC">
      <w:r>
        <w:t>Public Folders in Microsoft Exchange do have something that is unique to them for which mailboxes do not.  By default, creating a new public folder cause that folder to be created as a “post” folder.  A Post folder changes the rendered view and behavior such that the concept of sender and receiver is dropped.  However, using Outlook a user with sufficient privilege can create a child folder that is a “message” folder, where the contents render more like a normal message folder in a mailbox.</w:t>
      </w:r>
    </w:p>
    <w:p w14:paraId="6C654E77" w14:textId="616A00D3" w:rsidR="00CE52FC" w:rsidRPr="00CE52FC" w:rsidRDefault="00CE52FC" w:rsidP="00CE52FC">
      <w:r>
        <w:t>An internal debate ensued about whether to silently treat Post folders as normal message folders, or to do some sort of conversion.  Ultimately, this question was never answer as the project ended before an answer was required.  The point to note is that a standard public folder is not exactly the same as a normal folder in a mailbox.  Even such small differences can be enough to sour the user experience and drive up support costs.</w:t>
      </w:r>
    </w:p>
    <w:p w14:paraId="404C3C91" w14:textId="77777777" w:rsidR="00CE52FC" w:rsidRDefault="00CE52FC" w:rsidP="00DF4859"/>
    <w:p w14:paraId="21BE0EE5" w14:textId="134E1D71" w:rsidR="00CE52FC" w:rsidRDefault="00CE52FC" w:rsidP="00CE52FC">
      <w:pPr>
        <w:pStyle w:val="Heading2"/>
      </w:pPr>
      <w:r>
        <w:t>User experience</w:t>
      </w:r>
    </w:p>
    <w:p w14:paraId="36CC3F02" w14:textId="1BFF931E" w:rsidR="00CE52FC" w:rsidRDefault="00CE52FC" w:rsidP="00CE52FC">
      <w:r>
        <w:t xml:space="preserve">Priasoft has always been concerned about the end-user experience that follows a migration or other action.  When the options started to evolve with regards to migrating public folders to shared mailboxes, the team started to worry about the end-user impact.  The user experience for many cases would be dramatically different and could be quite disruptive.  </w:t>
      </w:r>
    </w:p>
    <w:p w14:paraId="0B1E145B" w14:textId="510CC219" w:rsidR="00CE52FC" w:rsidRDefault="00CE52FC" w:rsidP="00CE52FC">
      <w:r>
        <w:t>We caution those looking at this path to consider the cost of retraining user behaviors with regards to shared data and the likely increase in support requests in relation.</w:t>
      </w:r>
    </w:p>
    <w:p w14:paraId="1FB15089" w14:textId="77777777" w:rsidR="00532438" w:rsidRDefault="00532438" w:rsidP="00CE52FC"/>
    <w:p w14:paraId="706B62FF" w14:textId="62C1B88F" w:rsidR="00532438" w:rsidRDefault="00532438" w:rsidP="00532438">
      <w:pPr>
        <w:pStyle w:val="Heading2"/>
      </w:pPr>
      <w:r>
        <w:t>Administrative Burden</w:t>
      </w:r>
    </w:p>
    <w:p w14:paraId="7732C1B9" w14:textId="713ED129" w:rsidR="00712C5C" w:rsidRDefault="00532438" w:rsidP="00532438">
      <w:r>
        <w:t xml:space="preserve">Another element that was quickly realized was the increased burden on Exchange administrators once the migrations completed.  The Full Access permission is a right that only an administrator can apply – unless additional software is also provided somehow allow users to manage this permission.  </w:t>
      </w:r>
    </w:p>
    <w:p w14:paraId="11EB14F2" w14:textId="7E3AF9EF" w:rsidR="00712C5C" w:rsidRDefault="00712C5C" w:rsidP="00532438">
      <w:r>
        <w:t xml:space="preserve">The use case that was brought to the team was one where the folders that were moved to a shared mailbox were a subtree for a specific department.  When a new team member was added, that user would need access to the shared mailbox, but the team </w:t>
      </w:r>
      <w:r>
        <w:lastRenderedPageBreak/>
        <w:t>leader or department manager would have no way to provide the necessary right and would have to hand off the request to someone else.</w:t>
      </w:r>
    </w:p>
    <w:p w14:paraId="0964E1E6" w14:textId="2D60F6DD" w:rsidR="00712C5C" w:rsidRDefault="00712C5C" w:rsidP="00532438">
      <w:r>
        <w:t>Some may quickly state that the use of a security group could make this easier.  While true, the ease is only seen by the administrator.  Adding users to groups is inherently an Active Directory element.</w:t>
      </w:r>
    </w:p>
    <w:p w14:paraId="3DD19C2B" w14:textId="0E1DA402" w:rsidR="00712C5C" w:rsidRDefault="00712C5C" w:rsidP="00532438">
      <w:r>
        <w:t>From there others might suggest that a user with owner rights over a mail-enabled security group could self-manage the members and provide the necessary access – which is absolutely true and a path that was explored.  However, there are some inherent security risks with the use of mail-enable security groups and there are many organizations that suppress this ability.</w:t>
      </w:r>
    </w:p>
    <w:p w14:paraId="20058074" w14:textId="77777777" w:rsidR="00712C5C" w:rsidRDefault="00712C5C" w:rsidP="00532438"/>
    <w:p w14:paraId="2229873E" w14:textId="2E3616F0" w:rsidR="00712C5C" w:rsidRDefault="00712C5C" w:rsidP="00712C5C">
      <w:pPr>
        <w:pStyle w:val="Heading2"/>
      </w:pPr>
      <w:r>
        <w:t>No customization or limiting</w:t>
      </w:r>
    </w:p>
    <w:p w14:paraId="6C1ABE9D" w14:textId="33C9D62E" w:rsidR="00712C5C" w:rsidRDefault="00712C5C" w:rsidP="00712C5C">
      <w:r>
        <w:t xml:space="preserve">With a shared mailbox, one gets all of what it provides with no customization.  </w:t>
      </w:r>
    </w:p>
    <w:p w14:paraId="7A91507D" w14:textId="2446578C" w:rsidR="00712C5C" w:rsidRDefault="00712C5C" w:rsidP="00712C5C">
      <w:r>
        <w:t>This topic was also mentioned in Priasoft developer meetings on this project and was from the concern that users might only want to see the folder or subtree just as they saw it in the public folder system.  However, there’s no supported or manageable way to hide any of the default folders in a mailbox.</w:t>
      </w:r>
    </w:p>
    <w:p w14:paraId="57AD0930" w14:textId="6937BD72" w:rsidR="00712C5C" w:rsidRDefault="00712C5C" w:rsidP="00712C5C">
      <w:r>
        <w:t>A shared mailbox will always have the default folders, whether they are wanted or not:  Calendar, Contacts, Drafts, Deleted Items, Inbox, Outbox, Sent Items, Sticky Notes, Journal, etc.  If the source public folder(s) that are being considered for migration to a shared mailbox, it can be confusing to users afterwards to see all the standard mailbox folders in addition to the original public folders.</w:t>
      </w:r>
    </w:p>
    <w:p w14:paraId="1A6BAF7C" w14:textId="46655041" w:rsidR="00712C5C" w:rsidRDefault="00712C5C" w:rsidP="00712C5C">
      <w:r>
        <w:t>In addition, the standard folders in an Exchange mailbox can no longer be modified – in Exchange 2007 and earlier it was possible for a software developer to change the name of the Inbox or other folders, but Microsoft removed this ability starting with Exchange 2010.</w:t>
      </w:r>
    </w:p>
    <w:p w14:paraId="589A626E" w14:textId="77777777" w:rsidR="007519FB" w:rsidRDefault="007519FB" w:rsidP="00712C5C"/>
    <w:p w14:paraId="35BF0D8C" w14:textId="7D7789CC" w:rsidR="007519FB" w:rsidRDefault="007519FB" w:rsidP="007519FB">
      <w:pPr>
        <w:pStyle w:val="Title"/>
      </w:pPr>
      <w:r>
        <w:t>Conclusions</w:t>
      </w:r>
    </w:p>
    <w:p w14:paraId="1A6FF218" w14:textId="7322F134" w:rsidR="007519FB" w:rsidRDefault="007519FB" w:rsidP="007519FB">
      <w:r>
        <w:t>In the end, and hopefully expressed well enough, Priasoft scrapped the idea of an automated solution to take Public Folders to Shared Mailboxes.  While this path is still a very interesting and active topic in general, the list of differences and inherent limitations of a mailbox caused our team to back off the idea.</w:t>
      </w:r>
    </w:p>
    <w:p w14:paraId="1E8C5B3E" w14:textId="6976D8BC" w:rsidR="007519FB" w:rsidRDefault="007519FB" w:rsidP="007519FB">
      <w:r>
        <w:t>Priasoft encourages customers to consider carefully the elements and challenges we faced before making to deep a commitment to this path.  Even if the cost and time of the migration is dismissed, the cost to end users and the loss of productivity and also the likely increase of activity at the help desk can be more than most realize.</w:t>
      </w:r>
    </w:p>
    <w:p w14:paraId="1CE071B4" w14:textId="4739CD22" w:rsidR="007519FB" w:rsidRDefault="007519FB" w:rsidP="007519FB">
      <w:r>
        <w:t xml:space="preserve">Priasoft also understands the situation that organizations can be in with regards to public folders, especially when they become very large, and/or when there is a desire to retire the on-premises Exchange platform in favor of Office 365.  Priasoft has engineered the </w:t>
      </w:r>
      <w:r>
        <w:lastRenderedPageBreak/>
        <w:t xml:space="preserve">first and, based on customer feedback, the best Public Folder Synchronization toolset available.  Public folders can be carried forward to any version of Exchange, including Office 365 with this solution.  </w:t>
      </w:r>
    </w:p>
    <w:p w14:paraId="0F65960B" w14:textId="202164DD" w:rsidR="007519FB" w:rsidRDefault="007519FB" w:rsidP="007519FB">
      <w:r>
        <w:t>Lastly, it may be best to start with analysis of public folders, usage, and behaviors before starting any migration work on them.  if there are any chances to cull data, or shift certain branches of the folders to a different – and more appropriate – medium like a document management solution, file system, or archive we encourage such.</w:t>
      </w:r>
    </w:p>
    <w:p w14:paraId="77B2C44B" w14:textId="19A92C48" w:rsidR="007519FB" w:rsidRDefault="007519FB" w:rsidP="007519FB">
      <w:r>
        <w:t xml:space="preserve">Remember as well that Public Folders are not inherently “bad”, but have been easy to abuse.  There are valid and valuable uses for public folders.  </w:t>
      </w:r>
      <w:r w:rsidR="00BB699B">
        <w:t>Any time that can be spent to identify the “good” uses of public folders is worthwhile.</w:t>
      </w:r>
    </w:p>
    <w:p w14:paraId="7C04BAC1" w14:textId="77777777" w:rsidR="00BB699B" w:rsidRDefault="00BB699B" w:rsidP="007519FB"/>
    <w:p w14:paraId="5C7D6A3C" w14:textId="2AD35EB4" w:rsidR="00BB699B" w:rsidRPr="007519FB" w:rsidRDefault="00BB699B" w:rsidP="007519FB">
      <w:r>
        <w:t xml:space="preserve">The Priasoft team enjoys talking about Exchange and Public Folders.  We encourage any reader to reach out to our team or to find us on the various places on the web and Internet.  Simple questions can be sent to </w:t>
      </w:r>
      <w:hyperlink r:id="rId8" w:history="1">
        <w:r w:rsidRPr="00C85092">
          <w:rPr>
            <w:rStyle w:val="Hyperlink"/>
          </w:rPr>
          <w:t>support@priasoft.com</w:t>
        </w:r>
      </w:hyperlink>
      <w:r>
        <w:t xml:space="preserve"> and we’ll respond as we are able.</w:t>
      </w:r>
      <w:bookmarkStart w:id="0" w:name="_GoBack"/>
      <w:bookmarkEnd w:id="0"/>
    </w:p>
    <w:p w14:paraId="309B4E04" w14:textId="77777777" w:rsidR="00CE52FC" w:rsidRPr="00CE52FC" w:rsidRDefault="00CE52FC" w:rsidP="00CE52FC"/>
    <w:p w14:paraId="2A8B8767" w14:textId="77777777" w:rsidR="004F64A6" w:rsidRPr="00DF4859" w:rsidRDefault="004F64A6" w:rsidP="00DF4859"/>
    <w:p w14:paraId="347F886E" w14:textId="77777777" w:rsidR="00915C89" w:rsidRPr="00915C89" w:rsidRDefault="00915C89" w:rsidP="00915C89"/>
    <w:p w14:paraId="4F1C7BA3" w14:textId="77777777" w:rsidR="00915C89" w:rsidRPr="00915C89" w:rsidRDefault="00915C89" w:rsidP="00915C89"/>
    <w:p w14:paraId="699C18D1" w14:textId="77777777" w:rsidR="00CB1FE0" w:rsidRPr="00CB1FE0" w:rsidRDefault="00CB1FE0" w:rsidP="00CB1FE0"/>
    <w:sectPr w:rsidR="00CB1FE0" w:rsidRPr="00CB1FE0" w:rsidSect="00001008">
      <w:headerReference w:type="default" r:id="rId9"/>
      <w:headerReference w:type="first" r:id="rId10"/>
      <w:footerReference w:type="first" r:id="rId11"/>
      <w:pgSz w:w="12240" w:h="15840" w:code="1"/>
      <w:pgMar w:top="216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B61AD7" w14:textId="77777777" w:rsidR="00690174" w:rsidRDefault="00690174" w:rsidP="000157CE">
      <w:pPr>
        <w:spacing w:after="0" w:line="240" w:lineRule="auto"/>
      </w:pPr>
      <w:r>
        <w:separator/>
      </w:r>
    </w:p>
  </w:endnote>
  <w:endnote w:type="continuationSeparator" w:id="0">
    <w:p w14:paraId="7622E27F" w14:textId="77777777" w:rsidR="00690174" w:rsidRDefault="00690174" w:rsidP="00015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left w:w="115" w:type="dxa"/>
        <w:right w:w="115" w:type="dxa"/>
      </w:tblCellMar>
      <w:tblLook w:val="04A0" w:firstRow="1" w:lastRow="0" w:firstColumn="1" w:lastColumn="0" w:noHBand="0" w:noVBand="1"/>
    </w:tblPr>
    <w:tblGrid>
      <w:gridCol w:w="4721"/>
      <w:gridCol w:w="1737"/>
      <w:gridCol w:w="1737"/>
      <w:gridCol w:w="2605"/>
    </w:tblGrid>
    <w:tr w:rsidR="0087311A" w14:paraId="0930E208" w14:textId="77777777" w:rsidTr="00ED04FC">
      <w:tc>
        <w:tcPr>
          <w:tcW w:w="2186" w:type="pct"/>
          <w:shd w:val="clear" w:color="auto" w:fill="auto"/>
        </w:tcPr>
        <w:p w14:paraId="0930E204" w14:textId="77777777" w:rsidR="0087311A" w:rsidRDefault="0087311A" w:rsidP="00ED04FC">
          <w:pPr>
            <w:pStyle w:val="Footer"/>
          </w:pPr>
        </w:p>
      </w:tc>
      <w:tc>
        <w:tcPr>
          <w:tcW w:w="804" w:type="pct"/>
          <w:shd w:val="clear" w:color="auto" w:fill="auto"/>
        </w:tcPr>
        <w:p w14:paraId="0930E205" w14:textId="77777777" w:rsidR="0087311A" w:rsidRDefault="0087311A" w:rsidP="00ED04FC">
          <w:pPr>
            <w:pStyle w:val="Footer"/>
          </w:pPr>
          <w:r>
            <w:t>Phone</w:t>
          </w:r>
        </w:p>
      </w:tc>
      <w:tc>
        <w:tcPr>
          <w:tcW w:w="804" w:type="pct"/>
          <w:shd w:val="clear" w:color="auto" w:fill="auto"/>
        </w:tcPr>
        <w:p w14:paraId="0930E206" w14:textId="77777777" w:rsidR="0087311A" w:rsidRDefault="0087311A" w:rsidP="00ED04FC">
          <w:pPr>
            <w:pStyle w:val="Footer"/>
          </w:pPr>
          <w:r>
            <w:t>EMAIL</w:t>
          </w:r>
        </w:p>
      </w:tc>
      <w:tc>
        <w:tcPr>
          <w:tcW w:w="1206" w:type="pct"/>
          <w:shd w:val="clear" w:color="auto" w:fill="auto"/>
        </w:tcPr>
        <w:p w14:paraId="0930E207" w14:textId="77777777" w:rsidR="0087311A" w:rsidRDefault="0087311A" w:rsidP="00ED04FC">
          <w:pPr>
            <w:pStyle w:val="Footer"/>
          </w:pPr>
          <w:r>
            <w:t>Web</w:t>
          </w:r>
        </w:p>
      </w:tc>
    </w:tr>
    <w:tr w:rsidR="0087311A" w14:paraId="0930E20D" w14:textId="77777777" w:rsidTr="006D2BAB">
      <w:tc>
        <w:tcPr>
          <w:tcW w:w="2186" w:type="pct"/>
          <w:shd w:val="clear" w:color="auto" w:fill="B0C0C9" w:themeFill="accent3"/>
        </w:tcPr>
        <w:p w14:paraId="0930E209" w14:textId="77777777" w:rsidR="0087311A" w:rsidRPr="003229E6" w:rsidRDefault="0087311A" w:rsidP="00ED04FC">
          <w:pPr>
            <w:pStyle w:val="ContactDetails"/>
          </w:pPr>
        </w:p>
      </w:tc>
      <w:tc>
        <w:tcPr>
          <w:tcW w:w="804" w:type="pct"/>
          <w:shd w:val="clear" w:color="auto" w:fill="B0C0C9" w:themeFill="accent3"/>
        </w:tcPr>
        <w:p w14:paraId="0930E20A" w14:textId="77777777" w:rsidR="0087311A" w:rsidRPr="00E430C5" w:rsidRDefault="00FF4CA0" w:rsidP="00ED04FC">
          <w:pPr>
            <w:pStyle w:val="ContactDetails"/>
            <w:rPr>
              <w:sz w:val="20"/>
              <w:szCs w:val="20"/>
            </w:rPr>
          </w:pPr>
          <w:r>
            <w:rPr>
              <w:sz w:val="20"/>
              <w:szCs w:val="20"/>
            </w:rPr>
            <w:t>602.801.2400</w:t>
          </w:r>
        </w:p>
      </w:tc>
      <w:tc>
        <w:tcPr>
          <w:tcW w:w="804" w:type="pct"/>
          <w:shd w:val="clear" w:color="auto" w:fill="B0C0C9" w:themeFill="accent3"/>
        </w:tcPr>
        <w:p w14:paraId="0930E20B" w14:textId="77777777" w:rsidR="0087311A" w:rsidRDefault="00FF4CA0" w:rsidP="00ED04FC">
          <w:pPr>
            <w:pStyle w:val="ContactDetails"/>
          </w:pPr>
          <w:r>
            <w:t>support@priasoft.com</w:t>
          </w:r>
        </w:p>
      </w:tc>
      <w:tc>
        <w:tcPr>
          <w:tcW w:w="1206" w:type="pct"/>
          <w:shd w:val="clear" w:color="auto" w:fill="B0C0C9" w:themeFill="accent3"/>
        </w:tcPr>
        <w:p w14:paraId="0930E20C" w14:textId="77777777" w:rsidR="0087311A" w:rsidRDefault="0087311A" w:rsidP="00ED04FC">
          <w:pPr>
            <w:pStyle w:val="ContactDetails"/>
          </w:pPr>
          <w:r>
            <w:t>www.priasoft.com</w:t>
          </w:r>
        </w:p>
      </w:tc>
    </w:tr>
  </w:tbl>
  <w:p w14:paraId="0930E20E" w14:textId="77777777" w:rsidR="0087311A" w:rsidRDefault="008731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E3CC3" w14:textId="77777777" w:rsidR="00690174" w:rsidRDefault="00690174" w:rsidP="000157CE">
      <w:pPr>
        <w:spacing w:after="0" w:line="240" w:lineRule="auto"/>
      </w:pPr>
      <w:r>
        <w:separator/>
      </w:r>
    </w:p>
  </w:footnote>
  <w:footnote w:type="continuationSeparator" w:id="0">
    <w:p w14:paraId="4AE19FC5" w14:textId="77777777" w:rsidR="00690174" w:rsidRDefault="00690174" w:rsidP="000157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Pr>
    <w:tblGrid>
      <w:gridCol w:w="10800"/>
    </w:tblGrid>
    <w:tr w:rsidR="0087311A" w14:paraId="0930E1FB" w14:textId="77777777" w:rsidTr="00097F81">
      <w:tc>
        <w:tcPr>
          <w:tcW w:w="11016" w:type="dxa"/>
        </w:tcPr>
        <w:p w14:paraId="0930E1FA" w14:textId="77777777" w:rsidR="0087311A" w:rsidRDefault="001E2DD7" w:rsidP="00097F81">
          <w:pPr>
            <w:spacing w:after="0"/>
          </w:pPr>
          <w:r>
            <w:rPr>
              <w:noProof/>
            </w:rPr>
            <mc:AlternateContent>
              <mc:Choice Requires="wps">
                <w:drawing>
                  <wp:inline distT="0" distB="0" distL="0" distR="0" wp14:anchorId="0930E20F" wp14:editId="0930E210">
                    <wp:extent cx="6858000" cy="182880"/>
                    <wp:effectExtent l="0" t="0" r="0" b="7620"/>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82880"/>
                            </a:xfrm>
                            <a:prstGeom prst="rect">
                              <a:avLst/>
                            </a:prstGeom>
                            <a:gradFill flip="none" rotWithShape="1">
                              <a:gsLst>
                                <a:gs pos="0">
                                  <a:schemeClr val="accent1"/>
                                </a:gs>
                                <a:gs pos="100000">
                                  <a:schemeClr val="accent2"/>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30E213" w14:textId="77777777" w:rsidR="0087311A" w:rsidRDefault="00BE6A53" w:rsidP="00925ACA">
                                <w:pPr>
                                  <w:pStyle w:val="Header"/>
                                  <w:jc w:val="right"/>
                                </w:pPr>
                                <w:r>
                                  <w:fldChar w:fldCharType="begin"/>
                                </w:r>
                                <w:r w:rsidR="0087311A">
                                  <w:instrText xml:space="preserve"> Page </w:instrText>
                                </w:r>
                                <w:r>
                                  <w:fldChar w:fldCharType="separate"/>
                                </w:r>
                                <w:r w:rsidR="00BB699B">
                                  <w:rPr>
                                    <w:noProof/>
                                  </w:rPr>
                                  <w:t>9</w:t>
                                </w:r>
                                <w: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0930E20F" id="Rectangle 6" o:spid="_x0000_s1026" style="width:540pt;height:14.4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" fillcolor="#5590cc [3204]" stroked="f" strokeweight=".85pt">
                    <v:fill color2="#9fc9eb [3205]" rotate="t" angle="90" focus="100%" type="gradient"/>
                    <v:path arrowok="t"/>
                    <v:textbox>
                      <w:txbxContent>
                        <w:p w14:paraId="0930E213" w14:textId="77777777" w:rsidR="0087311A" w:rsidRDefault="00BE6A53" w:rsidP="00925ACA">
                          <w:pPr>
                            <w:pStyle w:val="Header"/>
                            <w:jc w:val="right"/>
                          </w:pPr>
                          <w:r>
                            <w:fldChar w:fldCharType="begin"/>
                          </w:r>
                          <w:r w:rsidR="0087311A">
                            <w:instrText xml:space="preserve"> Page </w:instrText>
                          </w:r>
                          <w:r>
                            <w:fldChar w:fldCharType="separate"/>
                          </w:r>
                          <w:r w:rsidR="00BB699B">
                            <w:rPr>
                              <w:noProof/>
                            </w:rPr>
                            <w:t>9</w:t>
                          </w:r>
                          <w:r>
                            <w:fldChar w:fldCharType="end"/>
                          </w:r>
                        </w:p>
                      </w:txbxContent>
                    </v:textbox>
                    <w10:anchorlock/>
                  </v:rect>
                </w:pict>
              </mc:Fallback>
            </mc:AlternateContent>
          </w:r>
        </w:p>
      </w:tc>
    </w:tr>
    <w:tr w:rsidR="0087311A" w:rsidRPr="00097F81" w14:paraId="0930E1FD" w14:textId="77777777" w:rsidTr="00097F81">
      <w:trPr>
        <w:trHeight w:val="72"/>
      </w:trPr>
      <w:tc>
        <w:tcPr>
          <w:tcW w:w="11016" w:type="dxa"/>
          <w:shd w:val="clear" w:color="auto" w:fill="B0C0C9" w:themeFill="accent3"/>
        </w:tcPr>
        <w:p w14:paraId="0930E1FC" w14:textId="77777777" w:rsidR="0087311A" w:rsidRPr="00097F81" w:rsidRDefault="0087311A" w:rsidP="00097F81">
          <w:pPr>
            <w:pStyle w:val="NoSpacing"/>
            <w:rPr>
              <w:sz w:val="2"/>
            </w:rPr>
          </w:pPr>
        </w:p>
      </w:tc>
    </w:tr>
  </w:tbl>
  <w:p w14:paraId="0930E1FE" w14:textId="77777777" w:rsidR="0087311A" w:rsidRDefault="0087311A" w:rsidP="00097F8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0" w:type="dxa"/>
        <w:right w:w="0" w:type="dxa"/>
      </w:tblCellMar>
      <w:tblLook w:val="04A0" w:firstRow="1" w:lastRow="0" w:firstColumn="1" w:lastColumn="0" w:noHBand="0" w:noVBand="1"/>
    </w:tblPr>
    <w:tblGrid>
      <w:gridCol w:w="10800"/>
    </w:tblGrid>
    <w:tr w:rsidR="0087311A" w14:paraId="0930E200" w14:textId="77777777" w:rsidTr="00ED04FC">
      <w:tc>
        <w:tcPr>
          <w:tcW w:w="11016" w:type="dxa"/>
        </w:tcPr>
        <w:p w14:paraId="0930E1FF" w14:textId="77777777" w:rsidR="0087311A" w:rsidRDefault="001E2DD7" w:rsidP="006D2BAB">
          <w:pPr>
            <w:pStyle w:val="NoSpacing"/>
          </w:pPr>
          <w:r>
            <w:rPr>
              <w:noProof/>
            </w:rPr>
            <mc:AlternateContent>
              <mc:Choice Requires="wps">
                <w:drawing>
                  <wp:inline distT="0" distB="0" distL="0" distR="0" wp14:anchorId="0930E211" wp14:editId="0930E212">
                    <wp:extent cx="6858000" cy="822960"/>
                    <wp:effectExtent l="0" t="0" r="0" b="0"/>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822960"/>
                            </a:xfrm>
                            <a:prstGeom prst="rect">
                              <a:avLst/>
                            </a:prstGeom>
                            <a:gradFill flip="none" rotWithShape="1">
                              <a:gsLst>
                                <a:gs pos="0">
                                  <a:schemeClr val="accent1"/>
                                </a:gs>
                                <a:gs pos="100000">
                                  <a:schemeClr val="accent2"/>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30E214" w14:textId="525D32B3" w:rsidR="0087311A" w:rsidRPr="004565DB" w:rsidRDefault="004565DB" w:rsidP="00DF1B69">
                                <w:pPr>
                                  <w:pStyle w:val="Organization"/>
                                  <w:rPr>
                                    <w:sz w:val="52"/>
                                  </w:rPr>
                                </w:pPr>
                                <w:r w:rsidRPr="004565DB">
                                  <w:rPr>
                                    <w:sz w:val="52"/>
                                  </w:rPr>
                                  <w:t>Public Folders and Conversion to Shared Mailbox</w:t>
                                </w:r>
                              </w:p>
                              <w:p w14:paraId="0930E215" w14:textId="033F3D14" w:rsidR="0087311A" w:rsidRPr="00226E69" w:rsidRDefault="004565DB" w:rsidP="00DF1B69">
                                <w:pPr>
                                  <w:pStyle w:val="Organization"/>
                                  <w:rPr>
                                    <w:i/>
                                    <w:sz w:val="44"/>
                                  </w:rPr>
                                </w:pPr>
                                <w:r>
                                  <w:rPr>
                                    <w:i/>
                                    <w:sz w:val="44"/>
                                  </w:rPr>
                                  <w:t>why Priasoft stopped development on this path</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inline>
                </w:drawing>
              </mc:Choice>
              <mc:Fallback>
                <w:pict>
                  <v:rect w14:anchorId="0930E211" id="Rectangle 4" o:spid="_x0000_s1027" style="width:540pt;height:64.8pt;visibility:visible;mso-wrap-style:squar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" fillcolor="#5590cc [3204]" stroked="f" strokeweight=".85pt">
                    <v:fill color2="#9fc9eb [3205]" rotate="t" angle="90" focus="100%" type="gradient"/>
                    <v:path arrowok="t"/>
                    <v:textbox>
                      <w:txbxContent>
                        <w:p w14:paraId="0930E214" w14:textId="525D32B3" w:rsidR="0087311A" w:rsidRPr="004565DB" w:rsidRDefault="004565DB" w:rsidP="00DF1B69">
                          <w:pPr>
                            <w:pStyle w:val="Organization"/>
                            <w:rPr>
                              <w:sz w:val="52"/>
                            </w:rPr>
                          </w:pPr>
                          <w:r w:rsidRPr="004565DB">
                            <w:rPr>
                              <w:sz w:val="52"/>
                            </w:rPr>
                            <w:t>Public Folders and Conversion to Shared Mailbox</w:t>
                          </w:r>
                        </w:p>
                        <w:p w14:paraId="0930E215" w14:textId="033F3D14" w:rsidR="0087311A" w:rsidRPr="00226E69" w:rsidRDefault="004565DB" w:rsidP="00DF1B69">
                          <w:pPr>
                            <w:pStyle w:val="Organization"/>
                            <w:rPr>
                              <w:i/>
                              <w:sz w:val="44"/>
                            </w:rPr>
                          </w:pPr>
                          <w:r>
                            <w:rPr>
                              <w:i/>
                              <w:sz w:val="44"/>
                            </w:rPr>
                            <w:t>why Priasoft stopped development on this path</w:t>
                          </w:r>
                        </w:p>
                      </w:txbxContent>
                    </v:textbox>
                    <w10:anchorlock/>
                  </v:rect>
                </w:pict>
              </mc:Fallback>
            </mc:AlternateContent>
          </w:r>
        </w:p>
      </w:tc>
    </w:tr>
    <w:tr w:rsidR="0087311A" w14:paraId="0930E202" w14:textId="77777777" w:rsidTr="00ED04FC">
      <w:tc>
        <w:tcPr>
          <w:tcW w:w="11016" w:type="dxa"/>
          <w:shd w:val="clear" w:color="auto" w:fill="B0C0C9" w:themeFill="accent3"/>
        </w:tcPr>
        <w:p w14:paraId="0930E201" w14:textId="77777777" w:rsidR="0087311A" w:rsidRDefault="0087311A" w:rsidP="003A1723">
          <w:pPr>
            <w:spacing w:before="60" w:after="40"/>
          </w:pPr>
        </w:p>
      </w:tc>
    </w:tr>
  </w:tbl>
  <w:p w14:paraId="0930E203" w14:textId="77777777" w:rsidR="0087311A" w:rsidRPr="00DF1B69" w:rsidRDefault="0087311A" w:rsidP="00DF1B69">
    <w:pPr>
      <w:pStyle w:val="No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5677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A426B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814DC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CA4AF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CAF4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9497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B3083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6448C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50063BE"/>
    <w:lvl w:ilvl="0">
      <w:start w:val="1"/>
      <w:numFmt w:val="decimal"/>
      <w:pStyle w:val="ListNumber"/>
      <w:lvlText w:val="%1."/>
      <w:lvlJc w:val="left"/>
      <w:pPr>
        <w:tabs>
          <w:tab w:val="num" w:pos="360"/>
        </w:tabs>
        <w:ind w:left="360" w:hanging="360"/>
      </w:pPr>
      <w:rPr>
        <w:rFonts w:hint="default"/>
        <w:color w:val="5590CC" w:themeColor="accent1"/>
      </w:rPr>
    </w:lvl>
  </w:abstractNum>
  <w:abstractNum w:abstractNumId="9"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2461F"/>
    <w:multiLevelType w:val="hybridMultilevel"/>
    <w:tmpl w:val="BA341584"/>
    <w:lvl w:ilvl="0" w:tplc="01D222EA">
      <w:start w:val="3"/>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F3BBB"/>
    <w:multiLevelType w:val="hybridMultilevel"/>
    <w:tmpl w:val="F44EDFB8"/>
    <w:lvl w:ilvl="0" w:tplc="D1844A1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B93595"/>
    <w:multiLevelType w:val="hybridMultilevel"/>
    <w:tmpl w:val="0A6E9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5A6E2C"/>
    <w:multiLevelType w:val="hybridMultilevel"/>
    <w:tmpl w:val="D910D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F547FB"/>
    <w:multiLevelType w:val="hybridMultilevel"/>
    <w:tmpl w:val="F488C91C"/>
    <w:lvl w:ilvl="0" w:tplc="FF2A8F74">
      <w:start w:val="4"/>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225C8"/>
    <w:multiLevelType w:val="hybridMultilevel"/>
    <w:tmpl w:val="7F9E56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3F3E97"/>
    <w:multiLevelType w:val="hybridMultilevel"/>
    <w:tmpl w:val="16D071B4"/>
    <w:lvl w:ilvl="0" w:tplc="8106686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529F4"/>
    <w:multiLevelType w:val="hybridMultilevel"/>
    <w:tmpl w:val="9156033A"/>
    <w:lvl w:ilvl="0" w:tplc="A29005B0">
      <w:start w:val="4"/>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FB2C39"/>
    <w:multiLevelType w:val="hybridMultilevel"/>
    <w:tmpl w:val="8F2E7B50"/>
    <w:lvl w:ilvl="0" w:tplc="FCB4476C">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2962C3"/>
    <w:multiLevelType w:val="hybridMultilevel"/>
    <w:tmpl w:val="08C6DC5E"/>
    <w:lvl w:ilvl="0" w:tplc="97AE6736">
      <w:start w:val="3"/>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A45BFE"/>
    <w:multiLevelType w:val="hybridMultilevel"/>
    <w:tmpl w:val="933E2CFC"/>
    <w:lvl w:ilvl="0" w:tplc="42CC17D2">
      <w:start w:val="1"/>
      <w:numFmt w:val="bullet"/>
      <w:pStyle w:val="ListBullet"/>
      <w:lvlText w:val=""/>
      <w:lvlJc w:val="left"/>
      <w:pPr>
        <w:ind w:left="360" w:hanging="360"/>
      </w:pPr>
      <w:rPr>
        <w:rFonts w:ascii="Wingdings 2" w:hAnsi="Wingdings 2" w:hint="default"/>
        <w:color w:val="5590CC"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1D3470"/>
    <w:multiLevelType w:val="hybridMultilevel"/>
    <w:tmpl w:val="2564E3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0"/>
    <w:lvlOverride w:ilvl="0">
      <w:startOverride w:val="1"/>
    </w:lvlOverride>
  </w:num>
  <w:num w:numId="13">
    <w:abstractNumId w:val="20"/>
    <w:lvlOverride w:ilvl="0">
      <w:startOverride w:val="1"/>
    </w:lvlOverride>
  </w:num>
  <w:num w:numId="14">
    <w:abstractNumId w:val="21"/>
  </w:num>
  <w:num w:numId="15">
    <w:abstractNumId w:val="15"/>
  </w:num>
  <w:num w:numId="16">
    <w:abstractNumId w:val="10"/>
  </w:num>
  <w:num w:numId="17">
    <w:abstractNumId w:val="19"/>
  </w:num>
  <w:num w:numId="18">
    <w:abstractNumId w:val="17"/>
  </w:num>
  <w:num w:numId="19">
    <w:abstractNumId w:val="14"/>
  </w:num>
  <w:num w:numId="20">
    <w:abstractNumId w:val="12"/>
  </w:num>
  <w:num w:numId="21">
    <w:abstractNumId w:val="18"/>
  </w:num>
  <w:num w:numId="22">
    <w:abstractNumId w:val="11"/>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84B"/>
    <w:rsid w:val="00001008"/>
    <w:rsid w:val="000115BB"/>
    <w:rsid w:val="000157CE"/>
    <w:rsid w:val="000165C8"/>
    <w:rsid w:val="000203B5"/>
    <w:rsid w:val="00021DEE"/>
    <w:rsid w:val="00030F43"/>
    <w:rsid w:val="00055419"/>
    <w:rsid w:val="00085D05"/>
    <w:rsid w:val="00097F81"/>
    <w:rsid w:val="000A06F8"/>
    <w:rsid w:val="000B1437"/>
    <w:rsid w:val="000C1017"/>
    <w:rsid w:val="000C7C4A"/>
    <w:rsid w:val="000F2A73"/>
    <w:rsid w:val="000F7C49"/>
    <w:rsid w:val="00106EF1"/>
    <w:rsid w:val="001200E1"/>
    <w:rsid w:val="0012369D"/>
    <w:rsid w:val="001331A7"/>
    <w:rsid w:val="0014287E"/>
    <w:rsid w:val="00143743"/>
    <w:rsid w:val="0014746C"/>
    <w:rsid w:val="00165340"/>
    <w:rsid w:val="00165C69"/>
    <w:rsid w:val="0017331F"/>
    <w:rsid w:val="00187D2E"/>
    <w:rsid w:val="001958FC"/>
    <w:rsid w:val="001A1D52"/>
    <w:rsid w:val="001A7892"/>
    <w:rsid w:val="001C05C3"/>
    <w:rsid w:val="001C5044"/>
    <w:rsid w:val="001D384B"/>
    <w:rsid w:val="001E2DD7"/>
    <w:rsid w:val="001E7F15"/>
    <w:rsid w:val="001F3F6A"/>
    <w:rsid w:val="00226484"/>
    <w:rsid w:val="00226E69"/>
    <w:rsid w:val="002408B8"/>
    <w:rsid w:val="00255E56"/>
    <w:rsid w:val="00257BA8"/>
    <w:rsid w:val="00270748"/>
    <w:rsid w:val="00285A96"/>
    <w:rsid w:val="00295471"/>
    <w:rsid w:val="002A0559"/>
    <w:rsid w:val="002A2E49"/>
    <w:rsid w:val="002C1543"/>
    <w:rsid w:val="002E21D7"/>
    <w:rsid w:val="002E7884"/>
    <w:rsid w:val="003229E6"/>
    <w:rsid w:val="003236D1"/>
    <w:rsid w:val="00324187"/>
    <w:rsid w:val="003272A8"/>
    <w:rsid w:val="003311CF"/>
    <w:rsid w:val="00342B3B"/>
    <w:rsid w:val="00357004"/>
    <w:rsid w:val="00365F0C"/>
    <w:rsid w:val="00391F9D"/>
    <w:rsid w:val="00397279"/>
    <w:rsid w:val="003A12E5"/>
    <w:rsid w:val="003A1723"/>
    <w:rsid w:val="003A45C8"/>
    <w:rsid w:val="003B0450"/>
    <w:rsid w:val="003C17F6"/>
    <w:rsid w:val="003C1E37"/>
    <w:rsid w:val="003D0944"/>
    <w:rsid w:val="003E2A28"/>
    <w:rsid w:val="003E6944"/>
    <w:rsid w:val="0040240F"/>
    <w:rsid w:val="0040412F"/>
    <w:rsid w:val="004111D1"/>
    <w:rsid w:val="004219B7"/>
    <w:rsid w:val="00421E80"/>
    <w:rsid w:val="0043533D"/>
    <w:rsid w:val="004565DB"/>
    <w:rsid w:val="0045778C"/>
    <w:rsid w:val="004612FF"/>
    <w:rsid w:val="00461D3A"/>
    <w:rsid w:val="004822FE"/>
    <w:rsid w:val="00482453"/>
    <w:rsid w:val="004869D7"/>
    <w:rsid w:val="004873FE"/>
    <w:rsid w:val="004B0C9C"/>
    <w:rsid w:val="004B27D5"/>
    <w:rsid w:val="004E43FA"/>
    <w:rsid w:val="004E759E"/>
    <w:rsid w:val="004F3D52"/>
    <w:rsid w:val="004F64A6"/>
    <w:rsid w:val="004F6520"/>
    <w:rsid w:val="004F6C7F"/>
    <w:rsid w:val="005131DB"/>
    <w:rsid w:val="0052343A"/>
    <w:rsid w:val="00532438"/>
    <w:rsid w:val="00554A5B"/>
    <w:rsid w:val="00556155"/>
    <w:rsid w:val="005774DC"/>
    <w:rsid w:val="0057795B"/>
    <w:rsid w:val="00594233"/>
    <w:rsid w:val="005A21CB"/>
    <w:rsid w:val="005E56FB"/>
    <w:rsid w:val="005F1989"/>
    <w:rsid w:val="00600ED8"/>
    <w:rsid w:val="006524F6"/>
    <w:rsid w:val="00664EFC"/>
    <w:rsid w:val="00673F97"/>
    <w:rsid w:val="00675AF9"/>
    <w:rsid w:val="00690174"/>
    <w:rsid w:val="006A2623"/>
    <w:rsid w:val="006B03C0"/>
    <w:rsid w:val="006D2BAB"/>
    <w:rsid w:val="006D723A"/>
    <w:rsid w:val="006E0C40"/>
    <w:rsid w:val="006F5109"/>
    <w:rsid w:val="00706CA8"/>
    <w:rsid w:val="007123A2"/>
    <w:rsid w:val="00712B67"/>
    <w:rsid w:val="00712C5C"/>
    <w:rsid w:val="007178DE"/>
    <w:rsid w:val="00720109"/>
    <w:rsid w:val="007306B5"/>
    <w:rsid w:val="0073605F"/>
    <w:rsid w:val="00745090"/>
    <w:rsid w:val="007519FB"/>
    <w:rsid w:val="007909E5"/>
    <w:rsid w:val="00796C19"/>
    <w:rsid w:val="00796F14"/>
    <w:rsid w:val="007A4398"/>
    <w:rsid w:val="007A531C"/>
    <w:rsid w:val="007B3727"/>
    <w:rsid w:val="007C1D38"/>
    <w:rsid w:val="007C4DEE"/>
    <w:rsid w:val="007E31A3"/>
    <w:rsid w:val="008112E3"/>
    <w:rsid w:val="0082753E"/>
    <w:rsid w:val="008309BB"/>
    <w:rsid w:val="00850203"/>
    <w:rsid w:val="00863582"/>
    <w:rsid w:val="00867DE4"/>
    <w:rsid w:val="0087311A"/>
    <w:rsid w:val="0089024C"/>
    <w:rsid w:val="008915C7"/>
    <w:rsid w:val="00891CBF"/>
    <w:rsid w:val="0089624E"/>
    <w:rsid w:val="008B7BA1"/>
    <w:rsid w:val="008C0C19"/>
    <w:rsid w:val="008C1AD6"/>
    <w:rsid w:val="008F219C"/>
    <w:rsid w:val="008F4F9F"/>
    <w:rsid w:val="008F7390"/>
    <w:rsid w:val="00915C89"/>
    <w:rsid w:val="00920D22"/>
    <w:rsid w:val="0092544B"/>
    <w:rsid w:val="0092570C"/>
    <w:rsid w:val="00925ACA"/>
    <w:rsid w:val="00930D68"/>
    <w:rsid w:val="00950684"/>
    <w:rsid w:val="00965BA7"/>
    <w:rsid w:val="009739DE"/>
    <w:rsid w:val="00975409"/>
    <w:rsid w:val="00977615"/>
    <w:rsid w:val="009A0DDE"/>
    <w:rsid w:val="009A4637"/>
    <w:rsid w:val="009B00B0"/>
    <w:rsid w:val="009C4FB0"/>
    <w:rsid w:val="009F338E"/>
    <w:rsid w:val="009F501F"/>
    <w:rsid w:val="00A118FB"/>
    <w:rsid w:val="00A21E82"/>
    <w:rsid w:val="00A31262"/>
    <w:rsid w:val="00A4491D"/>
    <w:rsid w:val="00A64FF8"/>
    <w:rsid w:val="00A72C54"/>
    <w:rsid w:val="00A80662"/>
    <w:rsid w:val="00A86B3A"/>
    <w:rsid w:val="00A87922"/>
    <w:rsid w:val="00A95959"/>
    <w:rsid w:val="00AC6809"/>
    <w:rsid w:val="00AE2C56"/>
    <w:rsid w:val="00B52B92"/>
    <w:rsid w:val="00B54319"/>
    <w:rsid w:val="00B60FB3"/>
    <w:rsid w:val="00B74A9B"/>
    <w:rsid w:val="00B82558"/>
    <w:rsid w:val="00B9388F"/>
    <w:rsid w:val="00BA6836"/>
    <w:rsid w:val="00BB5C35"/>
    <w:rsid w:val="00BB699B"/>
    <w:rsid w:val="00BB6C47"/>
    <w:rsid w:val="00BD5A48"/>
    <w:rsid w:val="00BD6A89"/>
    <w:rsid w:val="00BD7B5D"/>
    <w:rsid w:val="00BE256A"/>
    <w:rsid w:val="00BE6A53"/>
    <w:rsid w:val="00BF71E6"/>
    <w:rsid w:val="00C02CEA"/>
    <w:rsid w:val="00C33194"/>
    <w:rsid w:val="00C42B70"/>
    <w:rsid w:val="00C42BDE"/>
    <w:rsid w:val="00C560FD"/>
    <w:rsid w:val="00C56336"/>
    <w:rsid w:val="00C643EA"/>
    <w:rsid w:val="00C71F48"/>
    <w:rsid w:val="00C8613F"/>
    <w:rsid w:val="00C87E6D"/>
    <w:rsid w:val="00CB1FE0"/>
    <w:rsid w:val="00CC1A67"/>
    <w:rsid w:val="00CC5F03"/>
    <w:rsid w:val="00CD517A"/>
    <w:rsid w:val="00CE32AC"/>
    <w:rsid w:val="00CE52FC"/>
    <w:rsid w:val="00CE7E3A"/>
    <w:rsid w:val="00CF212C"/>
    <w:rsid w:val="00CF7CD0"/>
    <w:rsid w:val="00D03231"/>
    <w:rsid w:val="00D10322"/>
    <w:rsid w:val="00D114D5"/>
    <w:rsid w:val="00D2605C"/>
    <w:rsid w:val="00D26157"/>
    <w:rsid w:val="00D328ED"/>
    <w:rsid w:val="00D35335"/>
    <w:rsid w:val="00D617E0"/>
    <w:rsid w:val="00D8483F"/>
    <w:rsid w:val="00D8505F"/>
    <w:rsid w:val="00DA7F49"/>
    <w:rsid w:val="00DB7C82"/>
    <w:rsid w:val="00DD6631"/>
    <w:rsid w:val="00DF1B69"/>
    <w:rsid w:val="00DF4859"/>
    <w:rsid w:val="00DF6661"/>
    <w:rsid w:val="00DF6F0F"/>
    <w:rsid w:val="00E021A5"/>
    <w:rsid w:val="00E31478"/>
    <w:rsid w:val="00E430C5"/>
    <w:rsid w:val="00E62AB8"/>
    <w:rsid w:val="00E8173E"/>
    <w:rsid w:val="00EA0773"/>
    <w:rsid w:val="00EC7791"/>
    <w:rsid w:val="00EC7B33"/>
    <w:rsid w:val="00ED04FC"/>
    <w:rsid w:val="00EE20C9"/>
    <w:rsid w:val="00EE7DA2"/>
    <w:rsid w:val="00EF76E4"/>
    <w:rsid w:val="00F16CEC"/>
    <w:rsid w:val="00F17A65"/>
    <w:rsid w:val="00F21720"/>
    <w:rsid w:val="00F4286F"/>
    <w:rsid w:val="00F445ED"/>
    <w:rsid w:val="00F643EA"/>
    <w:rsid w:val="00F73F39"/>
    <w:rsid w:val="00F95ED3"/>
    <w:rsid w:val="00F96C3E"/>
    <w:rsid w:val="00FA03D3"/>
    <w:rsid w:val="00FA140B"/>
    <w:rsid w:val="00FA2137"/>
    <w:rsid w:val="00FA787F"/>
    <w:rsid w:val="00FD538D"/>
    <w:rsid w:val="00FE0074"/>
    <w:rsid w:val="00FE3228"/>
    <w:rsid w:val="00FE575B"/>
    <w:rsid w:val="00FF4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930E1E1"/>
  <w15:docId w15:val="{56A7812A-B965-4213-A82E-4B276351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505F"/>
    <w:rPr>
      <w:color w:val="000000" w:themeColor="text1"/>
    </w:rPr>
  </w:style>
  <w:style w:type="paragraph" w:styleId="Heading1">
    <w:name w:val="heading 1"/>
    <w:basedOn w:val="Normal"/>
    <w:next w:val="Normal"/>
    <w:link w:val="Heading1Char"/>
    <w:uiPriority w:val="1"/>
    <w:qFormat/>
    <w:rsid w:val="00BB6C47"/>
    <w:pPr>
      <w:pageBreakBefore/>
      <w:spacing w:before="480" w:after="360" w:line="240" w:lineRule="auto"/>
      <w:outlineLvl w:val="0"/>
    </w:pPr>
    <w:rPr>
      <w:bCs/>
      <w:color w:val="5590CC" w:themeColor="accent1"/>
      <w:sz w:val="36"/>
      <w:szCs w:val="28"/>
    </w:rPr>
  </w:style>
  <w:style w:type="paragraph" w:styleId="Heading2">
    <w:name w:val="heading 2"/>
    <w:basedOn w:val="Normal"/>
    <w:next w:val="Normal"/>
    <w:link w:val="Heading2Char"/>
    <w:uiPriority w:val="1"/>
    <w:qFormat/>
    <w:rsid w:val="00930D68"/>
    <w:pPr>
      <w:keepNext/>
      <w:keepLines/>
      <w:spacing w:before="200" w:after="100" w:line="240" w:lineRule="auto"/>
      <w:outlineLvl w:val="1"/>
    </w:pPr>
    <w:rPr>
      <w:bCs/>
      <w:color w:val="5590CC" w:themeColor="accent1"/>
      <w:sz w:val="24"/>
      <w:szCs w:val="26"/>
    </w:rPr>
  </w:style>
  <w:style w:type="paragraph" w:styleId="Heading3">
    <w:name w:val="heading 3"/>
    <w:basedOn w:val="Normal"/>
    <w:next w:val="Normal"/>
    <w:link w:val="Heading3Char"/>
    <w:uiPriority w:val="1"/>
    <w:unhideWhenUsed/>
    <w:qFormat/>
    <w:rsid w:val="00930D68"/>
    <w:pPr>
      <w:keepNext/>
      <w:keepLines/>
      <w:spacing w:before="200" w:after="0"/>
      <w:outlineLvl w:val="2"/>
    </w:pPr>
    <w:rPr>
      <w:bCs/>
      <w:color w:val="5590CC" w:themeColor="accent1"/>
    </w:rPr>
  </w:style>
  <w:style w:type="paragraph" w:styleId="Heading4">
    <w:name w:val="heading 4"/>
    <w:basedOn w:val="Normal"/>
    <w:next w:val="Normal"/>
    <w:link w:val="Heading4Char"/>
    <w:uiPriority w:val="1"/>
    <w:unhideWhenUsed/>
    <w:qFormat/>
    <w:rsid w:val="00930D68"/>
    <w:pPr>
      <w:keepNext/>
      <w:keepLines/>
      <w:spacing w:before="200" w:after="0"/>
      <w:outlineLvl w:val="3"/>
    </w:pPr>
    <w:rPr>
      <w:rFonts w:asciiTheme="majorHAnsi" w:eastAsiaTheme="majorEastAsia" w:hAnsiTheme="majorHAnsi" w:cstheme="majorBidi"/>
      <w:b/>
      <w:bCs/>
      <w:i/>
      <w:iCs/>
      <w:color w:val="5590CC" w:themeColor="accent1"/>
    </w:rPr>
  </w:style>
  <w:style w:type="paragraph" w:styleId="Heading5">
    <w:name w:val="heading 5"/>
    <w:basedOn w:val="Normal"/>
    <w:next w:val="Normal"/>
    <w:link w:val="Heading5Char"/>
    <w:uiPriority w:val="1"/>
    <w:unhideWhenUsed/>
    <w:qFormat/>
    <w:rsid w:val="00A21E82"/>
    <w:pPr>
      <w:keepNext/>
      <w:keepLines/>
      <w:spacing w:before="200" w:after="0"/>
      <w:outlineLvl w:val="4"/>
    </w:pPr>
    <w:rPr>
      <w:rFonts w:asciiTheme="majorHAnsi" w:eastAsiaTheme="majorEastAsia" w:hAnsiTheme="majorHAnsi" w:cstheme="majorBidi"/>
      <w:color w:val="21476E" w:themeColor="accent1" w:themeShade="7F"/>
    </w:rPr>
  </w:style>
  <w:style w:type="paragraph" w:styleId="Heading6">
    <w:name w:val="heading 6"/>
    <w:basedOn w:val="Normal"/>
    <w:next w:val="Normal"/>
    <w:link w:val="Heading6Char"/>
    <w:uiPriority w:val="1"/>
    <w:unhideWhenUsed/>
    <w:qFormat/>
    <w:rsid w:val="00A21E82"/>
    <w:pPr>
      <w:keepNext/>
      <w:keepLines/>
      <w:spacing w:before="200" w:after="0"/>
      <w:outlineLvl w:val="5"/>
    </w:pPr>
    <w:rPr>
      <w:rFonts w:asciiTheme="majorHAnsi" w:eastAsiaTheme="majorEastAsia" w:hAnsiTheme="majorHAnsi" w:cstheme="majorBidi"/>
      <w:i/>
      <w:iCs/>
      <w:color w:val="2147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ganization">
    <w:name w:val="Organization"/>
    <w:basedOn w:val="Normal"/>
    <w:uiPriority w:val="1"/>
    <w:qFormat/>
    <w:rsid w:val="00DF1B69"/>
    <w:pPr>
      <w:spacing w:after="0" w:line="600" w:lineRule="exact"/>
    </w:pPr>
    <w:rPr>
      <w:rFonts w:asciiTheme="majorHAnsi" w:hAnsiTheme="majorHAnsi"/>
      <w:color w:val="FFFFFF" w:themeColor="background1"/>
      <w:sz w:val="56"/>
      <w:szCs w:val="36"/>
    </w:rPr>
  </w:style>
  <w:style w:type="paragraph" w:styleId="Header">
    <w:name w:val="header"/>
    <w:basedOn w:val="Normal"/>
    <w:link w:val="HeaderChar"/>
    <w:uiPriority w:val="99"/>
    <w:unhideWhenUsed/>
    <w:rsid w:val="00925ACA"/>
    <w:pPr>
      <w:spacing w:after="0" w:line="240" w:lineRule="auto"/>
    </w:pPr>
    <w:rPr>
      <w:caps/>
      <w:color w:val="FFFFFF" w:themeColor="background1"/>
      <w:sz w:val="16"/>
    </w:rPr>
  </w:style>
  <w:style w:type="character" w:customStyle="1" w:styleId="HeaderChar">
    <w:name w:val="Header Char"/>
    <w:basedOn w:val="DefaultParagraphFont"/>
    <w:link w:val="Header"/>
    <w:uiPriority w:val="99"/>
    <w:rsid w:val="00925ACA"/>
    <w:rPr>
      <w:caps/>
      <w:color w:val="FFFFFF" w:themeColor="background1"/>
      <w:sz w:val="16"/>
    </w:rPr>
  </w:style>
  <w:style w:type="paragraph" w:styleId="Footer">
    <w:name w:val="footer"/>
    <w:basedOn w:val="Normal"/>
    <w:link w:val="FooterChar"/>
    <w:uiPriority w:val="99"/>
    <w:unhideWhenUsed/>
    <w:rsid w:val="00FE0074"/>
    <w:pPr>
      <w:spacing w:before="40" w:after="40" w:line="240" w:lineRule="auto"/>
    </w:pPr>
    <w:rPr>
      <w:caps/>
      <w:color w:val="B0C0C9" w:themeColor="accent3"/>
      <w:sz w:val="16"/>
    </w:rPr>
  </w:style>
  <w:style w:type="character" w:customStyle="1" w:styleId="FooterChar">
    <w:name w:val="Footer Char"/>
    <w:basedOn w:val="DefaultParagraphFont"/>
    <w:link w:val="Footer"/>
    <w:uiPriority w:val="99"/>
    <w:rsid w:val="00FE0074"/>
    <w:rPr>
      <w:caps/>
      <w:color w:val="B0C0C9" w:themeColor="accent3"/>
      <w:sz w:val="16"/>
    </w:rPr>
  </w:style>
  <w:style w:type="paragraph" w:customStyle="1" w:styleId="ContactDetails">
    <w:name w:val="Contact Details"/>
    <w:basedOn w:val="Normal"/>
    <w:uiPriority w:val="1"/>
    <w:qFormat/>
    <w:rsid w:val="006D2BAB"/>
    <w:pPr>
      <w:spacing w:before="80" w:after="80"/>
    </w:pPr>
    <w:rPr>
      <w:color w:val="FFFFFF" w:themeColor="background1"/>
      <w:sz w:val="16"/>
      <w:szCs w:val="14"/>
    </w:rPr>
  </w:style>
  <w:style w:type="character" w:styleId="PlaceholderText">
    <w:name w:val="Placeholder Text"/>
    <w:basedOn w:val="DefaultParagraphFont"/>
    <w:uiPriority w:val="99"/>
    <w:semiHidden/>
    <w:rsid w:val="00B82558"/>
    <w:rPr>
      <w:color w:val="808080"/>
    </w:rPr>
  </w:style>
  <w:style w:type="paragraph" w:styleId="Title">
    <w:name w:val="Title"/>
    <w:basedOn w:val="Normal"/>
    <w:next w:val="Normal"/>
    <w:link w:val="TitleChar"/>
    <w:uiPriority w:val="1"/>
    <w:qFormat/>
    <w:rsid w:val="00BD7B5D"/>
    <w:pPr>
      <w:pBdr>
        <w:bottom w:val="single" w:sz="8" w:space="4" w:color="B0C0C9" w:themeColor="accent3"/>
      </w:pBdr>
      <w:spacing w:before="720" w:after="480" w:line="240" w:lineRule="auto"/>
    </w:pPr>
    <w:rPr>
      <w:color w:val="5590CC" w:themeColor="accent1"/>
      <w:sz w:val="48"/>
    </w:rPr>
  </w:style>
  <w:style w:type="character" w:customStyle="1" w:styleId="TitleChar">
    <w:name w:val="Title Char"/>
    <w:basedOn w:val="DefaultParagraphFont"/>
    <w:link w:val="Title"/>
    <w:uiPriority w:val="1"/>
    <w:rsid w:val="00BD7B5D"/>
    <w:rPr>
      <w:color w:val="5590CC" w:themeColor="accent1"/>
      <w:sz w:val="48"/>
    </w:rPr>
  </w:style>
  <w:style w:type="paragraph" w:styleId="Date">
    <w:name w:val="Date"/>
    <w:basedOn w:val="Normal"/>
    <w:next w:val="Normal"/>
    <w:link w:val="DateChar"/>
    <w:uiPriority w:val="1"/>
    <w:rsid w:val="00285A96"/>
    <w:pPr>
      <w:spacing w:after="0"/>
      <w:jc w:val="right"/>
    </w:pPr>
    <w:rPr>
      <w:color w:val="5590CC" w:themeColor="accent1"/>
      <w:sz w:val="24"/>
      <w:szCs w:val="24"/>
    </w:rPr>
  </w:style>
  <w:style w:type="character" w:customStyle="1" w:styleId="DateChar">
    <w:name w:val="Date Char"/>
    <w:basedOn w:val="DefaultParagraphFont"/>
    <w:link w:val="Date"/>
    <w:uiPriority w:val="1"/>
    <w:rsid w:val="00285A96"/>
    <w:rPr>
      <w:color w:val="5590CC" w:themeColor="accent1"/>
      <w:sz w:val="24"/>
      <w:szCs w:val="24"/>
    </w:rPr>
  </w:style>
  <w:style w:type="paragraph" w:styleId="BalloonText">
    <w:name w:val="Balloon Text"/>
    <w:basedOn w:val="Normal"/>
    <w:link w:val="BalloonTextChar"/>
    <w:uiPriority w:val="99"/>
    <w:semiHidden/>
    <w:unhideWhenUsed/>
    <w:rsid w:val="00402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0F"/>
    <w:rPr>
      <w:rFonts w:ascii="Tahoma" w:hAnsi="Tahoma" w:cs="Tahoma"/>
      <w:sz w:val="16"/>
      <w:szCs w:val="16"/>
    </w:rPr>
  </w:style>
  <w:style w:type="table" w:styleId="TableGrid">
    <w:name w:val="Table Grid"/>
    <w:basedOn w:val="TableNormal"/>
    <w:uiPriority w:val="59"/>
    <w:rsid w:val="00B82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BB6C47"/>
    <w:rPr>
      <w:bCs/>
      <w:color w:val="5590CC" w:themeColor="accent1"/>
      <w:sz w:val="36"/>
      <w:szCs w:val="28"/>
    </w:rPr>
  </w:style>
  <w:style w:type="character" w:styleId="PageNumber">
    <w:name w:val="page number"/>
    <w:basedOn w:val="DefaultParagraphFont"/>
    <w:uiPriority w:val="99"/>
    <w:unhideWhenUsed/>
    <w:rsid w:val="004B27D5"/>
    <w:rPr>
      <w:color w:val="073E87" w:themeColor="text2"/>
    </w:rPr>
  </w:style>
  <w:style w:type="character" w:customStyle="1" w:styleId="Heading2Char">
    <w:name w:val="Heading 2 Char"/>
    <w:basedOn w:val="DefaultParagraphFont"/>
    <w:link w:val="Heading2"/>
    <w:uiPriority w:val="1"/>
    <w:rsid w:val="00930D68"/>
    <w:rPr>
      <w:bCs/>
      <w:color w:val="5590CC" w:themeColor="accent1"/>
      <w:sz w:val="24"/>
      <w:szCs w:val="26"/>
    </w:rPr>
  </w:style>
  <w:style w:type="character" w:customStyle="1" w:styleId="Heading3Char">
    <w:name w:val="Heading 3 Char"/>
    <w:basedOn w:val="DefaultParagraphFont"/>
    <w:link w:val="Heading3"/>
    <w:uiPriority w:val="1"/>
    <w:rsid w:val="00930D68"/>
    <w:rPr>
      <w:bCs/>
      <w:color w:val="5590CC" w:themeColor="accent1"/>
    </w:rPr>
  </w:style>
  <w:style w:type="paragraph" w:styleId="ListNumber">
    <w:name w:val="List Number"/>
    <w:basedOn w:val="Normal"/>
    <w:uiPriority w:val="1"/>
    <w:unhideWhenUsed/>
    <w:qFormat/>
    <w:rsid w:val="009F501F"/>
    <w:pPr>
      <w:numPr>
        <w:numId w:val="6"/>
      </w:numPr>
      <w:contextualSpacing/>
    </w:pPr>
  </w:style>
  <w:style w:type="paragraph" w:styleId="ListBullet">
    <w:name w:val="List Bullet"/>
    <w:basedOn w:val="Normal"/>
    <w:uiPriority w:val="1"/>
    <w:qFormat/>
    <w:rsid w:val="00BD7B5D"/>
    <w:pPr>
      <w:numPr>
        <w:numId w:val="11"/>
      </w:numPr>
      <w:spacing w:before="200" w:line="240" w:lineRule="auto"/>
      <w:ind w:left="720"/>
    </w:pPr>
    <w:rPr>
      <w:szCs w:val="22"/>
    </w:rPr>
  </w:style>
  <w:style w:type="paragraph" w:styleId="FootnoteText">
    <w:name w:val="footnote text"/>
    <w:basedOn w:val="Normal"/>
    <w:link w:val="FootnoteTextChar"/>
    <w:uiPriority w:val="99"/>
    <w:rsid w:val="00930D68"/>
    <w:pPr>
      <w:spacing w:after="0" w:line="240" w:lineRule="auto"/>
    </w:pPr>
    <w:rPr>
      <w:i/>
      <w:color w:val="595959" w:themeColor="text1" w:themeTint="A6"/>
      <w:sz w:val="16"/>
    </w:rPr>
  </w:style>
  <w:style w:type="character" w:customStyle="1" w:styleId="FootnoteTextChar">
    <w:name w:val="Footnote Text Char"/>
    <w:basedOn w:val="DefaultParagraphFont"/>
    <w:link w:val="FootnoteText"/>
    <w:uiPriority w:val="99"/>
    <w:rsid w:val="00930D68"/>
    <w:rPr>
      <w:i/>
      <w:color w:val="595959" w:themeColor="text1" w:themeTint="A6"/>
      <w:sz w:val="16"/>
    </w:rPr>
  </w:style>
  <w:style w:type="character" w:styleId="FootnoteReference">
    <w:name w:val="footnote reference"/>
    <w:basedOn w:val="DefaultParagraphFont"/>
    <w:uiPriority w:val="99"/>
    <w:rsid w:val="00930D68"/>
    <w:rPr>
      <w:color w:val="5590CC" w:themeColor="accent1"/>
      <w:sz w:val="20"/>
      <w:vertAlign w:val="superscript"/>
    </w:rPr>
  </w:style>
  <w:style w:type="paragraph" w:styleId="NoSpacing">
    <w:name w:val="No Spacing"/>
    <w:uiPriority w:val="1"/>
    <w:qFormat/>
    <w:rsid w:val="00FA2137"/>
    <w:pPr>
      <w:spacing w:after="0" w:line="240" w:lineRule="auto"/>
      <w:jc w:val="right"/>
    </w:pPr>
    <w:rPr>
      <w:color w:val="000000" w:themeColor="text1"/>
    </w:rPr>
  </w:style>
  <w:style w:type="character" w:customStyle="1" w:styleId="Heading4Char">
    <w:name w:val="Heading 4 Char"/>
    <w:basedOn w:val="DefaultParagraphFont"/>
    <w:link w:val="Heading4"/>
    <w:uiPriority w:val="1"/>
    <w:rsid w:val="00930D68"/>
    <w:rPr>
      <w:rFonts w:asciiTheme="majorHAnsi" w:eastAsiaTheme="majorEastAsia" w:hAnsiTheme="majorHAnsi" w:cstheme="majorBidi"/>
      <w:b/>
      <w:bCs/>
      <w:i/>
      <w:iCs/>
      <w:color w:val="5590CC" w:themeColor="accent1"/>
    </w:rPr>
  </w:style>
  <w:style w:type="paragraph" w:customStyle="1" w:styleId="FormText">
    <w:name w:val="Form Text"/>
    <w:basedOn w:val="Normal"/>
    <w:uiPriority w:val="1"/>
    <w:qFormat/>
    <w:rsid w:val="00796C19"/>
    <w:pPr>
      <w:spacing w:after="40"/>
    </w:pPr>
  </w:style>
  <w:style w:type="character" w:customStyle="1" w:styleId="FormHeadingChar">
    <w:name w:val="Form Heading Char"/>
    <w:basedOn w:val="DefaultParagraphFont"/>
    <w:link w:val="FormHeading"/>
    <w:uiPriority w:val="1"/>
    <w:rsid w:val="00D114D5"/>
    <w:rPr>
      <w:b/>
      <w:color w:val="7F7F7F" w:themeColor="text1" w:themeTint="80"/>
    </w:rPr>
  </w:style>
  <w:style w:type="paragraph" w:customStyle="1" w:styleId="FormHeading">
    <w:name w:val="Form Heading"/>
    <w:basedOn w:val="Normal"/>
    <w:link w:val="FormHeadingChar"/>
    <w:uiPriority w:val="1"/>
    <w:qFormat/>
    <w:rsid w:val="00D114D5"/>
    <w:pPr>
      <w:spacing w:before="40" w:after="40"/>
    </w:pPr>
    <w:rPr>
      <w:b/>
      <w:color w:val="7F7F7F" w:themeColor="text1" w:themeTint="80"/>
    </w:rPr>
  </w:style>
  <w:style w:type="table" w:customStyle="1" w:styleId="HostTable-Borderless">
    <w:name w:val="Host Table - Borderless"/>
    <w:basedOn w:val="TableNormal"/>
    <w:rsid w:val="00D114D5"/>
    <w:pPr>
      <w:spacing w:after="0" w:line="240" w:lineRule="auto"/>
    </w:pPr>
    <w:rPr>
      <w:sz w:val="22"/>
      <w:szCs w:val="22"/>
    </w:rPr>
    <w:tblPr>
      <w:tblCellMar>
        <w:left w:w="0" w:type="dxa"/>
        <w:right w:w="0" w:type="dxa"/>
      </w:tblCellMar>
    </w:tblPr>
  </w:style>
  <w:style w:type="table" w:customStyle="1" w:styleId="InvoiceTable">
    <w:name w:val="Invoice Table"/>
    <w:basedOn w:val="TableNormal"/>
    <w:rsid w:val="00D114D5"/>
    <w:pPr>
      <w:spacing w:after="0" w:line="240" w:lineRule="auto"/>
    </w:pPr>
    <w:rPr>
      <w:sz w:val="22"/>
      <w:szCs w:val="22"/>
    </w:rPr>
    <w:tblPr>
      <w:tblInd w:w="7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2" w:type="dxa"/>
        <w:right w:w="72" w:type="dxa"/>
      </w:tblCellMar>
    </w:tblPr>
    <w:tblStylePr w:type="firstRow">
      <w:tblPr/>
      <w:tcPr>
        <w:shd w:val="clear" w:color="auto" w:fill="F2F2F2" w:themeFill="background1" w:themeFillShade="F2"/>
      </w:tcPr>
    </w:tblStylePr>
    <w:tblStylePr w:type="lastRow">
      <w:tblPr/>
      <w:tcPr>
        <w:shd w:val="clear" w:color="auto" w:fill="F2F2F2" w:themeFill="background1" w:themeFillShade="F2"/>
      </w:tcPr>
    </w:tblStylePr>
  </w:style>
  <w:style w:type="paragraph" w:styleId="ListParagraph">
    <w:name w:val="List Paragraph"/>
    <w:basedOn w:val="Normal"/>
    <w:uiPriority w:val="34"/>
    <w:unhideWhenUsed/>
    <w:qFormat/>
    <w:rsid w:val="00342B3B"/>
    <w:pPr>
      <w:ind w:left="720"/>
      <w:contextualSpacing/>
    </w:pPr>
  </w:style>
  <w:style w:type="character" w:customStyle="1" w:styleId="Heading5Char">
    <w:name w:val="Heading 5 Char"/>
    <w:basedOn w:val="DefaultParagraphFont"/>
    <w:link w:val="Heading5"/>
    <w:uiPriority w:val="1"/>
    <w:rsid w:val="00A21E82"/>
    <w:rPr>
      <w:rFonts w:asciiTheme="majorHAnsi" w:eastAsiaTheme="majorEastAsia" w:hAnsiTheme="majorHAnsi" w:cstheme="majorBidi"/>
      <w:color w:val="21476E" w:themeColor="accent1" w:themeShade="7F"/>
    </w:rPr>
  </w:style>
  <w:style w:type="character" w:customStyle="1" w:styleId="Heading6Char">
    <w:name w:val="Heading 6 Char"/>
    <w:basedOn w:val="DefaultParagraphFont"/>
    <w:link w:val="Heading6"/>
    <w:uiPriority w:val="1"/>
    <w:rsid w:val="00A21E82"/>
    <w:rPr>
      <w:rFonts w:asciiTheme="majorHAnsi" w:eastAsiaTheme="majorEastAsia" w:hAnsiTheme="majorHAnsi" w:cstheme="majorBidi"/>
      <w:i/>
      <w:iCs/>
      <w:color w:val="21476E" w:themeColor="accent1" w:themeShade="7F"/>
    </w:rPr>
  </w:style>
  <w:style w:type="character" w:styleId="Hyperlink">
    <w:name w:val="Hyperlink"/>
    <w:basedOn w:val="DefaultParagraphFont"/>
    <w:uiPriority w:val="99"/>
    <w:unhideWhenUsed/>
    <w:rsid w:val="00F17A65"/>
    <w:rPr>
      <w:color w:val="0080FF" w:themeColor="hyperlink"/>
      <w:u w:val="single"/>
    </w:rPr>
  </w:style>
  <w:style w:type="paragraph" w:customStyle="1" w:styleId="CodeParagraph">
    <w:name w:val="Code Paragraph"/>
    <w:basedOn w:val="Normal"/>
    <w:qFormat/>
    <w:rsid w:val="00F4286F"/>
    <w:rPr>
      <w:rFonts w:ascii="Courier New" w:hAnsi="Courier New" w:cs="Courier New"/>
    </w:rPr>
  </w:style>
  <w:style w:type="character" w:customStyle="1" w:styleId="CodeSelection">
    <w:name w:val="Code Selection"/>
    <w:basedOn w:val="DefaultParagraphFont"/>
    <w:uiPriority w:val="1"/>
    <w:qFormat/>
    <w:rsid w:val="004873FE"/>
    <w:rPr>
      <w:rFonts w:ascii="Courier New" w:hAnsi="Courier New"/>
    </w:rPr>
  </w:style>
  <w:style w:type="paragraph" w:styleId="Caption">
    <w:name w:val="caption"/>
    <w:basedOn w:val="Normal"/>
    <w:next w:val="Normal"/>
    <w:uiPriority w:val="35"/>
    <w:unhideWhenUsed/>
    <w:qFormat/>
    <w:rsid w:val="0045778C"/>
    <w:pPr>
      <w:spacing w:line="240" w:lineRule="auto"/>
    </w:pPr>
    <w:rPr>
      <w:b/>
      <w:bCs/>
      <w:color w:val="5590CC" w:themeColor="accent1"/>
      <w:sz w:val="18"/>
      <w:szCs w:val="18"/>
    </w:rPr>
  </w:style>
  <w:style w:type="paragraph" w:styleId="NormalWeb">
    <w:name w:val="Normal (Web)"/>
    <w:basedOn w:val="Normal"/>
    <w:uiPriority w:val="99"/>
    <w:semiHidden/>
    <w:unhideWhenUsed/>
    <w:rsid w:val="00A118FB"/>
    <w:pPr>
      <w:spacing w:before="100" w:beforeAutospacing="1" w:after="100" w:afterAutospacing="1" w:line="240" w:lineRule="auto"/>
    </w:pPr>
    <w:rPr>
      <w:rFonts w:ascii="Times New Roman" w:hAnsi="Times New Roman" w:cs="Times New Roman"/>
      <w:color w:val="auto"/>
      <w:sz w:val="24"/>
      <w:szCs w:val="24"/>
    </w:rPr>
  </w:style>
  <w:style w:type="character" w:customStyle="1" w:styleId="apple-converted-space">
    <w:name w:val="apple-converted-space"/>
    <w:basedOn w:val="DefaultParagraphFont"/>
    <w:rsid w:val="007B3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526370">
      <w:bodyDiv w:val="1"/>
      <w:marLeft w:val="0"/>
      <w:marRight w:val="0"/>
      <w:marTop w:val="0"/>
      <w:marBottom w:val="0"/>
      <w:divBdr>
        <w:top w:val="none" w:sz="0" w:space="0" w:color="auto"/>
        <w:left w:val="none" w:sz="0" w:space="0" w:color="auto"/>
        <w:bottom w:val="none" w:sz="0" w:space="0" w:color="auto"/>
        <w:right w:val="none" w:sz="0" w:space="0" w:color="auto"/>
      </w:divBdr>
      <w:divsChild>
        <w:div w:id="173423061">
          <w:marLeft w:val="0"/>
          <w:marRight w:val="0"/>
          <w:marTop w:val="0"/>
          <w:marBottom w:val="0"/>
          <w:divBdr>
            <w:top w:val="none" w:sz="0" w:space="0" w:color="auto"/>
            <w:left w:val="none" w:sz="0" w:space="0" w:color="auto"/>
            <w:bottom w:val="none" w:sz="0" w:space="0" w:color="auto"/>
            <w:right w:val="none" w:sz="0" w:space="0" w:color="auto"/>
          </w:divBdr>
          <w:divsChild>
            <w:div w:id="1102534088">
              <w:marLeft w:val="0"/>
              <w:marRight w:val="0"/>
              <w:marTop w:val="0"/>
              <w:marBottom w:val="0"/>
              <w:divBdr>
                <w:top w:val="none" w:sz="0" w:space="0" w:color="auto"/>
                <w:left w:val="none" w:sz="0" w:space="0" w:color="auto"/>
                <w:bottom w:val="none" w:sz="0" w:space="0" w:color="auto"/>
                <w:right w:val="none" w:sz="0" w:space="0" w:color="auto"/>
              </w:divBdr>
            </w:div>
          </w:divsChild>
        </w:div>
        <w:div w:id="480468058">
          <w:marLeft w:val="0"/>
          <w:marRight w:val="0"/>
          <w:marTop w:val="0"/>
          <w:marBottom w:val="0"/>
          <w:divBdr>
            <w:top w:val="none" w:sz="0" w:space="0" w:color="auto"/>
            <w:left w:val="none" w:sz="0" w:space="0" w:color="auto"/>
            <w:bottom w:val="none" w:sz="0" w:space="0" w:color="auto"/>
            <w:right w:val="none" w:sz="0" w:space="0" w:color="auto"/>
          </w:divBdr>
          <w:divsChild>
            <w:div w:id="554123326">
              <w:marLeft w:val="0"/>
              <w:marRight w:val="0"/>
              <w:marTop w:val="0"/>
              <w:marBottom w:val="0"/>
              <w:divBdr>
                <w:top w:val="none" w:sz="0" w:space="0" w:color="auto"/>
                <w:left w:val="none" w:sz="0" w:space="0" w:color="auto"/>
                <w:bottom w:val="none" w:sz="0" w:space="0" w:color="auto"/>
                <w:right w:val="none" w:sz="0" w:space="0" w:color="auto"/>
              </w:divBdr>
            </w:div>
          </w:divsChild>
        </w:div>
        <w:div w:id="632757169">
          <w:marLeft w:val="0"/>
          <w:marRight w:val="0"/>
          <w:marTop w:val="0"/>
          <w:marBottom w:val="0"/>
          <w:divBdr>
            <w:top w:val="none" w:sz="0" w:space="0" w:color="auto"/>
            <w:left w:val="none" w:sz="0" w:space="0" w:color="auto"/>
            <w:bottom w:val="none" w:sz="0" w:space="0" w:color="auto"/>
            <w:right w:val="none" w:sz="0" w:space="0" w:color="auto"/>
          </w:divBdr>
          <w:divsChild>
            <w:div w:id="1337270836">
              <w:marLeft w:val="0"/>
              <w:marRight w:val="0"/>
              <w:marTop w:val="0"/>
              <w:marBottom w:val="0"/>
              <w:divBdr>
                <w:top w:val="none" w:sz="0" w:space="0" w:color="auto"/>
                <w:left w:val="none" w:sz="0" w:space="0" w:color="auto"/>
                <w:bottom w:val="none" w:sz="0" w:space="0" w:color="auto"/>
                <w:right w:val="none" w:sz="0" w:space="0" w:color="auto"/>
              </w:divBdr>
            </w:div>
          </w:divsChild>
        </w:div>
        <w:div w:id="809784941">
          <w:marLeft w:val="0"/>
          <w:marRight w:val="0"/>
          <w:marTop w:val="0"/>
          <w:marBottom w:val="0"/>
          <w:divBdr>
            <w:top w:val="none" w:sz="0" w:space="0" w:color="auto"/>
            <w:left w:val="none" w:sz="0" w:space="0" w:color="auto"/>
            <w:bottom w:val="none" w:sz="0" w:space="0" w:color="auto"/>
            <w:right w:val="none" w:sz="0" w:space="0" w:color="auto"/>
          </w:divBdr>
          <w:divsChild>
            <w:div w:id="1957978867">
              <w:marLeft w:val="0"/>
              <w:marRight w:val="0"/>
              <w:marTop w:val="0"/>
              <w:marBottom w:val="0"/>
              <w:divBdr>
                <w:top w:val="none" w:sz="0" w:space="0" w:color="auto"/>
                <w:left w:val="none" w:sz="0" w:space="0" w:color="auto"/>
                <w:bottom w:val="none" w:sz="0" w:space="0" w:color="auto"/>
                <w:right w:val="none" w:sz="0" w:space="0" w:color="auto"/>
              </w:divBdr>
            </w:div>
          </w:divsChild>
        </w:div>
        <w:div w:id="878592196">
          <w:marLeft w:val="0"/>
          <w:marRight w:val="0"/>
          <w:marTop w:val="0"/>
          <w:marBottom w:val="0"/>
          <w:divBdr>
            <w:top w:val="none" w:sz="0" w:space="0" w:color="auto"/>
            <w:left w:val="none" w:sz="0" w:space="0" w:color="auto"/>
            <w:bottom w:val="none" w:sz="0" w:space="0" w:color="auto"/>
            <w:right w:val="none" w:sz="0" w:space="0" w:color="auto"/>
          </w:divBdr>
          <w:divsChild>
            <w:div w:id="1079252581">
              <w:marLeft w:val="0"/>
              <w:marRight w:val="0"/>
              <w:marTop w:val="0"/>
              <w:marBottom w:val="0"/>
              <w:divBdr>
                <w:top w:val="none" w:sz="0" w:space="0" w:color="auto"/>
                <w:left w:val="none" w:sz="0" w:space="0" w:color="auto"/>
                <w:bottom w:val="none" w:sz="0" w:space="0" w:color="auto"/>
                <w:right w:val="none" w:sz="0" w:space="0" w:color="auto"/>
              </w:divBdr>
            </w:div>
          </w:divsChild>
        </w:div>
        <w:div w:id="2055931288">
          <w:marLeft w:val="0"/>
          <w:marRight w:val="0"/>
          <w:marTop w:val="0"/>
          <w:marBottom w:val="0"/>
          <w:divBdr>
            <w:top w:val="none" w:sz="0" w:space="0" w:color="auto"/>
            <w:left w:val="none" w:sz="0" w:space="0" w:color="auto"/>
            <w:bottom w:val="none" w:sz="0" w:space="0" w:color="auto"/>
            <w:right w:val="none" w:sz="0" w:space="0" w:color="auto"/>
          </w:divBdr>
          <w:divsChild>
            <w:div w:id="119094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096678">
      <w:bodyDiv w:val="1"/>
      <w:marLeft w:val="0"/>
      <w:marRight w:val="0"/>
      <w:marTop w:val="0"/>
      <w:marBottom w:val="0"/>
      <w:divBdr>
        <w:top w:val="none" w:sz="0" w:space="0" w:color="auto"/>
        <w:left w:val="none" w:sz="0" w:space="0" w:color="auto"/>
        <w:bottom w:val="none" w:sz="0" w:space="0" w:color="auto"/>
        <w:right w:val="none" w:sz="0" w:space="0" w:color="auto"/>
      </w:divBdr>
    </w:div>
    <w:div w:id="167105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priasof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Documents\Custom%20Office%20Templates\Priasoft%20Whitepap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rospect">
  <a:themeElements>
    <a:clrScheme name="Prospect">
      <a:dk1>
        <a:sysClr val="windowText" lastClr="000000"/>
      </a:dk1>
      <a:lt1>
        <a:sysClr val="window" lastClr="FFFFFF"/>
      </a:lt1>
      <a:dk2>
        <a:srgbClr val="073E87"/>
      </a:dk2>
      <a:lt2>
        <a:srgbClr val="C6E7FC"/>
      </a:lt2>
      <a:accent1>
        <a:srgbClr val="5590CC"/>
      </a:accent1>
      <a:accent2>
        <a:srgbClr val="9FC9EB"/>
      </a:accent2>
      <a:accent3>
        <a:srgbClr val="B0C0C9"/>
      </a:accent3>
      <a:accent4>
        <a:srgbClr val="A5D028"/>
      </a:accent4>
      <a:accent5>
        <a:srgbClr val="F5C040"/>
      </a:accent5>
      <a:accent6>
        <a:srgbClr val="05E0DB"/>
      </a:accent6>
      <a:hlink>
        <a:srgbClr val="0080FF"/>
      </a:hlink>
      <a:folHlink>
        <a:srgbClr val="5EAEFF"/>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4ED49-0A4F-4DE2-8C2D-20CAB404E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Priasoft Whitepaper.dotx</Template>
  <TotalTime>8455</TotalTime>
  <Pages>9</Pages>
  <Words>3749</Words>
  <Characters>21374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Eriq VanBibber</dc:creator>
  <cp:keywords/>
  <dc:description/>
  <cp:lastModifiedBy>Eriq VanBibber</cp:lastModifiedBy>
  <cp:revision>3</cp:revision>
  <cp:lastPrinted>2012-10-12T16:28:00Z</cp:lastPrinted>
  <dcterms:created xsi:type="dcterms:W3CDTF">2018-09-05T16:39:00Z</dcterms:created>
  <dcterms:modified xsi:type="dcterms:W3CDTF">2018-09-19T03:10:00Z</dcterms:modified>
  <cp:category/>
</cp:coreProperties>
</file>